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9185E" w14:textId="77777777" w:rsidR="00E31944" w:rsidRDefault="00E31944" w:rsidP="000255ED">
      <w:pPr>
        <w:pStyle w:val="Header"/>
        <w:tabs>
          <w:tab w:val="clear" w:pos="4513"/>
          <w:tab w:val="clear" w:pos="9026"/>
          <w:tab w:val="right" w:pos="14459"/>
        </w:tabs>
      </w:pPr>
      <w:r>
        <w:t xml:space="preserve">                                                                                               </w:t>
      </w:r>
      <w:r w:rsidR="000255ED">
        <w:tab/>
      </w:r>
      <w:r>
        <w:t xml:space="preserve">   </w:t>
      </w:r>
      <w:r>
        <w:rPr>
          <w:noProof/>
          <w:sz w:val="24"/>
          <w:szCs w:val="24"/>
          <w:lang w:eastAsia="en-GB"/>
        </w:rPr>
        <w:drawing>
          <wp:inline distT="0" distB="0" distL="0" distR="0" wp14:anchorId="01C7E364" wp14:editId="6C6B224E">
            <wp:extent cx="25908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438150"/>
                    </a:xfrm>
                    <a:prstGeom prst="rect">
                      <a:avLst/>
                    </a:prstGeom>
                    <a:noFill/>
                    <a:ln>
                      <a:noFill/>
                    </a:ln>
                  </pic:spPr>
                </pic:pic>
              </a:graphicData>
            </a:graphic>
          </wp:inline>
        </w:drawing>
      </w:r>
    </w:p>
    <w:p w14:paraId="1AB86CB9" w14:textId="6AEB35BC" w:rsidR="00E31944" w:rsidRDefault="00E31944" w:rsidP="000255ED">
      <w:pPr>
        <w:pStyle w:val="Header"/>
        <w:tabs>
          <w:tab w:val="clear" w:pos="4513"/>
          <w:tab w:val="clear" w:pos="9026"/>
          <w:tab w:val="center" w:pos="10773"/>
        </w:tabs>
      </w:pPr>
      <w:r>
        <w:rPr>
          <w:rFonts w:ascii="Freestyle Script" w:eastAsia="Calibri" w:hAnsi="Freestyle Script" w:cs="Arial"/>
          <w:color w:val="365F91"/>
          <w:sz w:val="36"/>
          <w:szCs w:val="24"/>
        </w:rPr>
        <w:tab/>
      </w:r>
      <w:r w:rsidRPr="00977966">
        <w:rPr>
          <w:rFonts w:ascii="Freestyle Script" w:eastAsia="Calibri" w:hAnsi="Freestyle Script" w:cs="Arial"/>
          <w:color w:val="365F91"/>
          <w:sz w:val="36"/>
          <w:szCs w:val="24"/>
        </w:rPr>
        <w:t>Professional, Proud and Passionate</w:t>
      </w:r>
    </w:p>
    <w:p w14:paraId="302FACE2" w14:textId="77777777" w:rsidR="00782D54" w:rsidRPr="000255ED" w:rsidRDefault="00896AE0" w:rsidP="000725B1">
      <w:pPr>
        <w:jc w:val="center"/>
        <w:rPr>
          <w:rFonts w:ascii="Arial Rounded MT Bold" w:hAnsi="Arial Rounded MT Bold"/>
          <w:b/>
          <w:color w:val="0070C0"/>
          <w:sz w:val="52"/>
          <w:szCs w:val="52"/>
        </w:rPr>
      </w:pPr>
      <w:r w:rsidRPr="000255ED">
        <w:rPr>
          <w:rFonts w:ascii="Arial Rounded MT Bold" w:hAnsi="Arial Rounded MT Bold"/>
          <w:b/>
          <w:color w:val="0070C0"/>
          <w:sz w:val="52"/>
          <w:szCs w:val="52"/>
        </w:rPr>
        <w:t>Gender Pay Gap Report</w:t>
      </w:r>
      <w:bookmarkStart w:id="0" w:name="_GoBack"/>
      <w:bookmarkEnd w:id="0"/>
    </w:p>
    <w:p w14:paraId="30082302" w14:textId="77777777" w:rsidR="000255ED" w:rsidRDefault="006F3CEE" w:rsidP="000725B1">
      <w:pPr>
        <w:jc w:val="center"/>
        <w:rPr>
          <w:rFonts w:ascii="Arial Rounded MT Bold" w:hAnsi="Arial Rounded MT Bold"/>
          <w:b/>
          <w:color w:val="0070C0"/>
          <w:sz w:val="72"/>
          <w:szCs w:val="72"/>
        </w:rPr>
      </w:pPr>
      <w:r>
        <w:rPr>
          <w:rFonts w:ascii="Arial Rounded MT Bold" w:hAnsi="Arial Rounded MT Bold"/>
          <w:b/>
          <w:noProof/>
          <w:color w:val="0070C0"/>
          <w:sz w:val="72"/>
          <w:szCs w:val="72"/>
          <w:lang w:eastAsia="en-GB"/>
        </w:rPr>
        <w:drawing>
          <wp:inline distT="0" distB="0" distL="0" distR="0" wp14:anchorId="65100645" wp14:editId="32CD6041">
            <wp:extent cx="5905500" cy="3143250"/>
            <wp:effectExtent l="0" t="0" r="0" b="0"/>
            <wp:docPr id="2" name="Picture 2" descr="C:\Ch\Chris\GP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h\Chris\GPR\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3143250"/>
                    </a:xfrm>
                    <a:prstGeom prst="rect">
                      <a:avLst/>
                    </a:prstGeom>
                    <a:noFill/>
                    <a:ln>
                      <a:noFill/>
                    </a:ln>
                  </pic:spPr>
                </pic:pic>
              </a:graphicData>
            </a:graphic>
          </wp:inline>
        </w:drawing>
      </w:r>
    </w:p>
    <w:p w14:paraId="4333D373" w14:textId="77777777" w:rsidR="000255ED" w:rsidRDefault="00933FDB" w:rsidP="000255ED">
      <w:pPr>
        <w:jc w:val="center"/>
        <w:rPr>
          <w:rFonts w:ascii="Arial Rounded MT Bold" w:hAnsi="Arial Rounded MT Bold"/>
          <w:b/>
          <w:color w:val="0070C0"/>
          <w:sz w:val="48"/>
          <w:szCs w:val="48"/>
        </w:rPr>
      </w:pPr>
      <w:r>
        <w:rPr>
          <w:rFonts w:ascii="Arial Rounded MT Bold" w:hAnsi="Arial Rounded MT Bold"/>
          <w:b/>
          <w:color w:val="0070C0"/>
          <w:sz w:val="48"/>
          <w:szCs w:val="48"/>
        </w:rPr>
        <w:t>2020</w:t>
      </w:r>
    </w:p>
    <w:p w14:paraId="3643C6CF" w14:textId="77777777" w:rsidR="008F5B87" w:rsidRDefault="008F5B87" w:rsidP="000255ED">
      <w:pPr>
        <w:jc w:val="center"/>
        <w:rPr>
          <w:sz w:val="20"/>
          <w:szCs w:val="20"/>
        </w:rPr>
      </w:pPr>
      <w:r>
        <w:rPr>
          <w:sz w:val="20"/>
          <w:szCs w:val="20"/>
        </w:rPr>
        <w:t>This report is prepared on behalf of QE Facilities Limited, part of the Gateshead Health NHS Foundation Trust Group.</w:t>
      </w:r>
    </w:p>
    <w:p w14:paraId="612EB97B" w14:textId="77777777" w:rsidR="00896AE0" w:rsidRDefault="00896AE0" w:rsidP="00896AE0">
      <w:pPr>
        <w:rPr>
          <w:sz w:val="28"/>
          <w:szCs w:val="28"/>
        </w:rPr>
      </w:pPr>
    </w:p>
    <w:p w14:paraId="588E8C0F" w14:textId="77777777" w:rsidR="000F1E6F" w:rsidRPr="00C1212E" w:rsidRDefault="000C0BDF" w:rsidP="00F644BD">
      <w:pPr>
        <w:spacing w:after="0"/>
        <w:rPr>
          <w:rFonts w:eastAsia="Times New Roman" w:cs="Arial"/>
          <w:b/>
          <w:color w:val="0070C0"/>
          <w:sz w:val="40"/>
          <w:szCs w:val="40"/>
          <w:lang w:val="en-US"/>
        </w:rPr>
      </w:pPr>
      <w:r w:rsidRPr="00C1212E">
        <w:rPr>
          <w:rFonts w:eastAsia="Times New Roman" w:cs="Arial"/>
          <w:b/>
          <w:color w:val="0070C0"/>
          <w:sz w:val="40"/>
          <w:szCs w:val="40"/>
          <w:lang w:val="en-US"/>
        </w:rPr>
        <w:lastRenderedPageBreak/>
        <w:t>Int</w:t>
      </w:r>
      <w:r w:rsidR="00BD7CED" w:rsidRPr="00C1212E">
        <w:rPr>
          <w:rFonts w:eastAsia="Times New Roman" w:cs="Arial"/>
          <w:b/>
          <w:color w:val="0070C0"/>
          <w:sz w:val="40"/>
          <w:szCs w:val="40"/>
          <w:lang w:val="en-US"/>
        </w:rPr>
        <w:t>roduction</w:t>
      </w:r>
    </w:p>
    <w:p w14:paraId="6F9FF642" w14:textId="77777777" w:rsidR="00BD7CED" w:rsidRPr="003823FF" w:rsidRDefault="00BD7CED" w:rsidP="004650D6">
      <w:pPr>
        <w:spacing w:after="0" w:line="240" w:lineRule="auto"/>
        <w:rPr>
          <w:rFonts w:eastAsia="Times New Roman" w:cs="Arial"/>
          <w:color w:val="002060"/>
          <w:sz w:val="24"/>
          <w:szCs w:val="24"/>
          <w:lang w:val="en-US"/>
        </w:rPr>
      </w:pPr>
      <w:r w:rsidRPr="003823FF">
        <w:rPr>
          <w:rFonts w:eastAsia="Times New Roman" w:cs="Arial"/>
          <w:color w:val="002060"/>
          <w:sz w:val="24"/>
          <w:szCs w:val="24"/>
          <w:lang w:val="en-US"/>
        </w:rPr>
        <w:t>QE Facilities Ltd (QEF) is a wholly owned subsidiary company of Gateshead Health NHS Foundation Trust, based in the North East of England. The company is a separate legal body</w:t>
      </w:r>
      <w:r w:rsidR="00614B4A" w:rsidRPr="003823FF">
        <w:rPr>
          <w:rFonts w:eastAsia="Times New Roman" w:cs="Arial"/>
          <w:color w:val="002060"/>
          <w:sz w:val="24"/>
          <w:szCs w:val="24"/>
          <w:lang w:val="en-US"/>
        </w:rPr>
        <w:t xml:space="preserve">, providing </w:t>
      </w:r>
      <w:r w:rsidRPr="003823FF">
        <w:rPr>
          <w:rFonts w:eastAsia="Times New Roman" w:cs="Arial"/>
          <w:color w:val="002060"/>
          <w:sz w:val="24"/>
          <w:szCs w:val="24"/>
          <w:lang w:val="en-US"/>
        </w:rPr>
        <w:t>a range of estates, facilities management, pharmacy, procurement and transport services to health care organisations.</w:t>
      </w:r>
    </w:p>
    <w:p w14:paraId="66B747DF" w14:textId="77777777" w:rsidR="00BD7CED" w:rsidRPr="003823FF" w:rsidRDefault="00BD7CED" w:rsidP="004650D6">
      <w:pPr>
        <w:spacing w:after="0" w:line="240" w:lineRule="auto"/>
        <w:rPr>
          <w:rFonts w:eastAsia="Times New Roman" w:cs="Arial"/>
          <w:color w:val="002060"/>
          <w:sz w:val="24"/>
          <w:szCs w:val="24"/>
          <w:lang w:val="en-US"/>
        </w:rPr>
      </w:pPr>
    </w:p>
    <w:p w14:paraId="204D26A2" w14:textId="77777777" w:rsidR="003823FF" w:rsidRPr="003823FF" w:rsidRDefault="00BD7CED" w:rsidP="004650D6">
      <w:pPr>
        <w:spacing w:line="240" w:lineRule="auto"/>
        <w:rPr>
          <w:rFonts w:eastAsia="Times New Roman" w:cs="Arial"/>
          <w:color w:val="002060"/>
          <w:sz w:val="24"/>
          <w:szCs w:val="24"/>
        </w:rPr>
      </w:pPr>
      <w:r w:rsidRPr="003823FF">
        <w:rPr>
          <w:rFonts w:eastAsia="Times New Roman" w:cs="Arial"/>
          <w:color w:val="002060"/>
          <w:sz w:val="24"/>
          <w:szCs w:val="24"/>
          <w:lang w:val="en-US"/>
        </w:rPr>
        <w:t xml:space="preserve">QEF is committed to the </w:t>
      </w:r>
      <w:r w:rsidRPr="00933FDB">
        <w:rPr>
          <w:rFonts w:eastAsia="Times New Roman" w:cs="Arial"/>
          <w:color w:val="002060"/>
          <w:sz w:val="24"/>
          <w:szCs w:val="24"/>
        </w:rPr>
        <w:t>promotion</w:t>
      </w:r>
      <w:r w:rsidR="00C14DBB" w:rsidRPr="00933FDB">
        <w:rPr>
          <w:rFonts w:eastAsia="Times New Roman" w:cs="Arial"/>
          <w:color w:val="002060"/>
          <w:sz w:val="24"/>
          <w:szCs w:val="24"/>
        </w:rPr>
        <w:t xml:space="preserve"> of diversity, </w:t>
      </w:r>
      <w:r w:rsidRPr="003823FF">
        <w:rPr>
          <w:rFonts w:eastAsia="Times New Roman" w:cs="Arial"/>
          <w:color w:val="002060"/>
          <w:sz w:val="24"/>
          <w:szCs w:val="24"/>
        </w:rPr>
        <w:t xml:space="preserve">equality </w:t>
      </w:r>
      <w:r w:rsidR="00614B4A" w:rsidRPr="003823FF">
        <w:rPr>
          <w:rFonts w:eastAsia="Times New Roman" w:cs="Arial"/>
          <w:color w:val="002060"/>
          <w:sz w:val="24"/>
          <w:szCs w:val="24"/>
        </w:rPr>
        <w:t xml:space="preserve">of opportunity </w:t>
      </w:r>
      <w:r w:rsidR="00EA319C">
        <w:rPr>
          <w:rFonts w:eastAsia="Times New Roman" w:cs="Arial"/>
          <w:color w:val="002060"/>
          <w:sz w:val="24"/>
          <w:szCs w:val="24"/>
        </w:rPr>
        <w:t xml:space="preserve">and choice </w:t>
      </w:r>
      <w:r w:rsidR="00614B4A" w:rsidRPr="003823FF">
        <w:rPr>
          <w:rFonts w:eastAsia="Times New Roman" w:cs="Arial"/>
          <w:color w:val="002060"/>
          <w:sz w:val="24"/>
          <w:szCs w:val="24"/>
        </w:rPr>
        <w:t xml:space="preserve">for all employees. </w:t>
      </w:r>
      <w:r w:rsidRPr="003823FF">
        <w:rPr>
          <w:rFonts w:eastAsia="Times New Roman" w:cs="Arial"/>
          <w:color w:val="002060"/>
          <w:sz w:val="24"/>
          <w:szCs w:val="24"/>
        </w:rPr>
        <w:t xml:space="preserve">Our aim is that our workforce </w:t>
      </w:r>
      <w:r w:rsidR="00614B4A" w:rsidRPr="003823FF">
        <w:rPr>
          <w:rFonts w:eastAsia="Times New Roman" w:cs="Arial"/>
          <w:color w:val="002060"/>
          <w:sz w:val="24"/>
          <w:szCs w:val="24"/>
        </w:rPr>
        <w:t xml:space="preserve">is diverse and </w:t>
      </w:r>
      <w:r w:rsidR="00EF4A53" w:rsidRPr="003823FF">
        <w:rPr>
          <w:rFonts w:eastAsia="Times New Roman" w:cs="Arial"/>
          <w:color w:val="002060"/>
          <w:sz w:val="24"/>
          <w:szCs w:val="24"/>
        </w:rPr>
        <w:t>inclusive;</w:t>
      </w:r>
      <w:r w:rsidR="00614B4A" w:rsidRPr="003823FF">
        <w:rPr>
          <w:rFonts w:eastAsia="Times New Roman" w:cs="Arial"/>
          <w:color w:val="002060"/>
          <w:sz w:val="24"/>
          <w:szCs w:val="24"/>
        </w:rPr>
        <w:t xml:space="preserve"> being </w:t>
      </w:r>
      <w:r w:rsidRPr="003823FF">
        <w:rPr>
          <w:rFonts w:eastAsia="Times New Roman" w:cs="Arial"/>
          <w:color w:val="002060"/>
          <w:sz w:val="24"/>
          <w:szCs w:val="24"/>
        </w:rPr>
        <w:t>truly re</w:t>
      </w:r>
      <w:r w:rsidR="00614B4A" w:rsidRPr="003823FF">
        <w:rPr>
          <w:rFonts w:eastAsia="Times New Roman" w:cs="Arial"/>
          <w:color w:val="002060"/>
          <w:sz w:val="24"/>
          <w:szCs w:val="24"/>
        </w:rPr>
        <w:t xml:space="preserve">presentative of the communities we serve. </w:t>
      </w:r>
      <w:r w:rsidRPr="003823FF">
        <w:rPr>
          <w:rFonts w:eastAsia="Times New Roman" w:cs="Arial"/>
          <w:color w:val="002060"/>
          <w:sz w:val="24"/>
          <w:szCs w:val="24"/>
        </w:rPr>
        <w:t xml:space="preserve"> </w:t>
      </w:r>
      <w:r w:rsidR="003823FF" w:rsidRPr="003823FF">
        <w:rPr>
          <w:rFonts w:eastAsia="Times New Roman" w:cs="Arial"/>
          <w:color w:val="002060"/>
          <w:sz w:val="24"/>
          <w:szCs w:val="24"/>
        </w:rPr>
        <w:t xml:space="preserve">We want to make </w:t>
      </w:r>
      <w:r w:rsidR="00614B4A" w:rsidRPr="003823FF">
        <w:rPr>
          <w:rFonts w:eastAsia="Times New Roman" w:cs="Arial"/>
          <w:color w:val="002060"/>
          <w:sz w:val="24"/>
          <w:szCs w:val="24"/>
        </w:rPr>
        <w:t>the best use of the talent and skills that everyone brings to our workforce</w:t>
      </w:r>
      <w:r w:rsidR="003823FF" w:rsidRPr="003823FF">
        <w:rPr>
          <w:rFonts w:eastAsia="Times New Roman" w:cs="Arial"/>
          <w:color w:val="002060"/>
          <w:sz w:val="24"/>
          <w:szCs w:val="24"/>
        </w:rPr>
        <w:t xml:space="preserve"> whilst supporting our wider community by taking on apprentices and supporting work experience. As Company we actively encourage a healthy work life balance and promote a flexible approach to work.</w:t>
      </w:r>
    </w:p>
    <w:p w14:paraId="4ACFC88D" w14:textId="77777777" w:rsidR="00BD7CED" w:rsidRPr="003823FF" w:rsidRDefault="003823FF" w:rsidP="004650D6">
      <w:pPr>
        <w:spacing w:line="240" w:lineRule="auto"/>
        <w:rPr>
          <w:rFonts w:eastAsia="Times New Roman" w:cs="Arial"/>
          <w:color w:val="002060"/>
          <w:sz w:val="24"/>
          <w:szCs w:val="24"/>
        </w:rPr>
      </w:pPr>
      <w:r w:rsidRPr="003823FF">
        <w:rPr>
          <w:rFonts w:eastAsia="Times New Roman" w:cs="Arial"/>
          <w:color w:val="002060"/>
          <w:sz w:val="24"/>
          <w:szCs w:val="24"/>
        </w:rPr>
        <w:t xml:space="preserve">The gender pay gap legislation introduced in April 2017 requires that UK employers with 250 employees or more on the snapshot date (5th April) publish </w:t>
      </w:r>
      <w:r w:rsidR="004650D6">
        <w:rPr>
          <w:rFonts w:eastAsia="Times New Roman" w:cs="Arial"/>
          <w:color w:val="002060"/>
          <w:sz w:val="24"/>
          <w:szCs w:val="24"/>
        </w:rPr>
        <w:t xml:space="preserve">data about their gender pay gap. </w:t>
      </w:r>
      <w:r w:rsidR="004650D6" w:rsidRPr="004650D6">
        <w:rPr>
          <w:rFonts w:eastAsia="Times New Roman" w:cs="Arial"/>
          <w:color w:val="002060"/>
          <w:sz w:val="24"/>
          <w:szCs w:val="24"/>
        </w:rPr>
        <w:t xml:space="preserve">The gender pay gap differs from equal pay as it is concerned with the differences in the average pay between men and women over a period of time no matter what their role is. Equal pay deals with the pay differences between men and women who carry out the same or similar jobs. </w:t>
      </w:r>
      <w:r w:rsidR="004650D6">
        <w:rPr>
          <w:rFonts w:eastAsia="Times New Roman" w:cs="Arial"/>
          <w:color w:val="002060"/>
          <w:sz w:val="24"/>
          <w:szCs w:val="24"/>
        </w:rPr>
        <w:t xml:space="preserve">The </w:t>
      </w:r>
      <w:r w:rsidRPr="003823FF">
        <w:rPr>
          <w:rFonts w:eastAsia="Times New Roman" w:cs="Arial"/>
          <w:color w:val="002060"/>
          <w:sz w:val="24"/>
          <w:szCs w:val="24"/>
        </w:rPr>
        <w:t>six different measures</w:t>
      </w:r>
      <w:r w:rsidR="004650D6">
        <w:rPr>
          <w:rFonts w:eastAsia="Times New Roman" w:cs="Arial"/>
          <w:color w:val="002060"/>
          <w:sz w:val="24"/>
          <w:szCs w:val="24"/>
        </w:rPr>
        <w:t xml:space="preserve"> which have to be reported are</w:t>
      </w:r>
      <w:r w:rsidRPr="003823FF">
        <w:rPr>
          <w:rFonts w:eastAsia="Times New Roman" w:cs="Arial"/>
          <w:color w:val="002060"/>
          <w:sz w:val="24"/>
          <w:szCs w:val="24"/>
        </w:rPr>
        <w:t>:</w:t>
      </w:r>
    </w:p>
    <w:p w14:paraId="204DAFCD" w14:textId="77777777" w:rsidR="003823FF" w:rsidRPr="003823FF" w:rsidRDefault="003823FF" w:rsidP="004650D6">
      <w:pPr>
        <w:spacing w:line="240" w:lineRule="auto"/>
        <w:rPr>
          <w:rFonts w:eastAsia="Times New Roman" w:cs="Arial"/>
          <w:color w:val="002060"/>
          <w:sz w:val="24"/>
          <w:szCs w:val="24"/>
        </w:rPr>
      </w:pPr>
      <w:r w:rsidRPr="003823FF">
        <w:rPr>
          <w:rFonts w:eastAsia="Times New Roman" w:cs="Arial"/>
          <w:b/>
          <w:color w:val="002060"/>
          <w:sz w:val="24"/>
          <w:szCs w:val="24"/>
        </w:rPr>
        <w:t xml:space="preserve">Mean gender pay gap: </w:t>
      </w:r>
      <w:r w:rsidR="00EA319C" w:rsidRPr="00EA319C">
        <w:rPr>
          <w:rFonts w:eastAsia="Times New Roman" w:cs="Arial"/>
          <w:color w:val="002060"/>
          <w:sz w:val="24"/>
          <w:szCs w:val="24"/>
        </w:rPr>
        <w:t>T</w:t>
      </w:r>
      <w:r w:rsidRPr="003823FF">
        <w:rPr>
          <w:rFonts w:eastAsia="Times New Roman" w:cs="Arial"/>
          <w:color w:val="002060"/>
          <w:sz w:val="24"/>
          <w:szCs w:val="24"/>
        </w:rPr>
        <w:t>he difference between the mean hourly rate of pay of male</w:t>
      </w:r>
      <w:r>
        <w:rPr>
          <w:rFonts w:eastAsia="Times New Roman" w:cs="Arial"/>
          <w:color w:val="002060"/>
          <w:sz w:val="24"/>
          <w:szCs w:val="24"/>
        </w:rPr>
        <w:t xml:space="preserve"> full-pay relevant employees</w:t>
      </w:r>
      <w:r w:rsidRPr="003823FF">
        <w:rPr>
          <w:rFonts w:eastAsia="Times New Roman" w:cs="Arial"/>
          <w:color w:val="002060"/>
          <w:sz w:val="24"/>
          <w:szCs w:val="24"/>
        </w:rPr>
        <w:t xml:space="preserve"> and that of female full-pay relevant employees. </w:t>
      </w:r>
    </w:p>
    <w:p w14:paraId="5F5E187F" w14:textId="77777777" w:rsidR="003823FF" w:rsidRPr="003823FF" w:rsidRDefault="003823FF" w:rsidP="004650D6">
      <w:pPr>
        <w:spacing w:line="240" w:lineRule="auto"/>
        <w:rPr>
          <w:rFonts w:eastAsia="Times New Roman" w:cs="Arial"/>
          <w:color w:val="002060"/>
          <w:sz w:val="24"/>
          <w:szCs w:val="24"/>
        </w:rPr>
      </w:pPr>
      <w:r w:rsidRPr="003823FF">
        <w:rPr>
          <w:rFonts w:eastAsia="Times New Roman" w:cs="Arial"/>
          <w:b/>
          <w:color w:val="002060"/>
          <w:sz w:val="24"/>
          <w:szCs w:val="24"/>
        </w:rPr>
        <w:t xml:space="preserve">Median gender pay gap: </w:t>
      </w:r>
      <w:r w:rsidR="00EA319C">
        <w:rPr>
          <w:rFonts w:eastAsia="Times New Roman" w:cs="Arial"/>
          <w:color w:val="002060"/>
          <w:sz w:val="24"/>
          <w:szCs w:val="24"/>
        </w:rPr>
        <w:t>T</w:t>
      </w:r>
      <w:r w:rsidRPr="003823FF">
        <w:rPr>
          <w:rFonts w:eastAsia="Times New Roman" w:cs="Arial"/>
          <w:color w:val="002060"/>
          <w:sz w:val="24"/>
          <w:szCs w:val="24"/>
        </w:rPr>
        <w:t xml:space="preserve">he difference between the median hourly rate of pay of male </w:t>
      </w:r>
      <w:r w:rsidR="00EA319C" w:rsidRPr="00EA319C">
        <w:rPr>
          <w:rFonts w:eastAsia="Times New Roman" w:cs="Arial"/>
          <w:color w:val="002060"/>
          <w:sz w:val="24"/>
          <w:szCs w:val="24"/>
        </w:rPr>
        <w:t xml:space="preserve">full-pay relevant employees </w:t>
      </w:r>
      <w:r w:rsidRPr="003823FF">
        <w:rPr>
          <w:rFonts w:eastAsia="Times New Roman" w:cs="Arial"/>
          <w:color w:val="002060"/>
          <w:sz w:val="24"/>
          <w:szCs w:val="24"/>
        </w:rPr>
        <w:t xml:space="preserve">and that of female full-pay relevant employees </w:t>
      </w:r>
    </w:p>
    <w:p w14:paraId="37DEB5DA" w14:textId="77777777" w:rsidR="003823FF" w:rsidRPr="00EA319C" w:rsidRDefault="003823FF" w:rsidP="004650D6">
      <w:pPr>
        <w:spacing w:line="240" w:lineRule="auto"/>
        <w:rPr>
          <w:rFonts w:eastAsia="Times New Roman" w:cs="Arial"/>
          <w:color w:val="002060"/>
          <w:sz w:val="24"/>
          <w:szCs w:val="24"/>
        </w:rPr>
      </w:pPr>
      <w:r w:rsidRPr="003823FF">
        <w:rPr>
          <w:rFonts w:eastAsia="Times New Roman" w:cs="Arial"/>
          <w:b/>
          <w:color w:val="002060"/>
          <w:sz w:val="24"/>
          <w:szCs w:val="24"/>
        </w:rPr>
        <w:t xml:space="preserve">Mean bonus gap: </w:t>
      </w:r>
      <w:r w:rsidR="00EA319C">
        <w:rPr>
          <w:rFonts w:eastAsia="Times New Roman" w:cs="Arial"/>
          <w:color w:val="002060"/>
          <w:sz w:val="24"/>
          <w:szCs w:val="24"/>
        </w:rPr>
        <w:t>T</w:t>
      </w:r>
      <w:r w:rsidRPr="00EA319C">
        <w:rPr>
          <w:rFonts w:eastAsia="Times New Roman" w:cs="Arial"/>
          <w:color w:val="002060"/>
          <w:sz w:val="24"/>
          <w:szCs w:val="24"/>
        </w:rPr>
        <w:t xml:space="preserve">he difference between the mean bonus pay paid to male </w:t>
      </w:r>
      <w:r w:rsidR="00EA319C" w:rsidRPr="00EA319C">
        <w:rPr>
          <w:rFonts w:eastAsia="Times New Roman" w:cs="Arial"/>
          <w:color w:val="002060"/>
          <w:sz w:val="24"/>
          <w:szCs w:val="24"/>
        </w:rPr>
        <w:t xml:space="preserve">relevant employees </w:t>
      </w:r>
      <w:r w:rsidRPr="00EA319C">
        <w:rPr>
          <w:rFonts w:eastAsia="Times New Roman" w:cs="Arial"/>
          <w:color w:val="002060"/>
          <w:sz w:val="24"/>
          <w:szCs w:val="24"/>
        </w:rPr>
        <w:t xml:space="preserve">and that paid to female relevant employees </w:t>
      </w:r>
    </w:p>
    <w:p w14:paraId="75F32D61" w14:textId="77777777" w:rsidR="003823FF" w:rsidRPr="00EA319C" w:rsidRDefault="003823FF" w:rsidP="004650D6">
      <w:pPr>
        <w:spacing w:line="240" w:lineRule="auto"/>
        <w:rPr>
          <w:rFonts w:eastAsia="Times New Roman" w:cs="Arial"/>
          <w:color w:val="002060"/>
          <w:sz w:val="24"/>
          <w:szCs w:val="24"/>
        </w:rPr>
      </w:pPr>
      <w:r w:rsidRPr="003823FF">
        <w:rPr>
          <w:rFonts w:eastAsia="Times New Roman" w:cs="Arial"/>
          <w:b/>
          <w:color w:val="002060"/>
          <w:sz w:val="24"/>
          <w:szCs w:val="24"/>
        </w:rPr>
        <w:t xml:space="preserve">Median bonus gap: </w:t>
      </w:r>
      <w:r w:rsidR="00EA319C">
        <w:rPr>
          <w:rFonts w:eastAsia="Times New Roman" w:cs="Arial"/>
          <w:color w:val="002060"/>
          <w:sz w:val="24"/>
          <w:szCs w:val="24"/>
        </w:rPr>
        <w:t>T</w:t>
      </w:r>
      <w:r w:rsidRPr="00EA319C">
        <w:rPr>
          <w:rFonts w:eastAsia="Times New Roman" w:cs="Arial"/>
          <w:color w:val="002060"/>
          <w:sz w:val="24"/>
          <w:szCs w:val="24"/>
        </w:rPr>
        <w:t xml:space="preserve">he difference between the median bonus pay paid to male </w:t>
      </w:r>
      <w:r w:rsidR="00EA319C" w:rsidRPr="00EA319C">
        <w:rPr>
          <w:rFonts w:eastAsia="Times New Roman" w:cs="Arial"/>
          <w:color w:val="002060"/>
          <w:sz w:val="24"/>
          <w:szCs w:val="24"/>
        </w:rPr>
        <w:t xml:space="preserve">relevant employees </w:t>
      </w:r>
      <w:r w:rsidRPr="00EA319C">
        <w:rPr>
          <w:rFonts w:eastAsia="Times New Roman" w:cs="Arial"/>
          <w:color w:val="002060"/>
          <w:sz w:val="24"/>
          <w:szCs w:val="24"/>
        </w:rPr>
        <w:t xml:space="preserve">and that paid to female relevant employees </w:t>
      </w:r>
    </w:p>
    <w:p w14:paraId="0D20E37E" w14:textId="77777777" w:rsidR="003823FF" w:rsidRPr="003823FF" w:rsidRDefault="003823FF" w:rsidP="004650D6">
      <w:pPr>
        <w:spacing w:line="240" w:lineRule="auto"/>
        <w:rPr>
          <w:rFonts w:eastAsia="Times New Roman" w:cs="Arial"/>
          <w:b/>
          <w:color w:val="002060"/>
          <w:sz w:val="24"/>
          <w:szCs w:val="24"/>
        </w:rPr>
      </w:pPr>
      <w:r w:rsidRPr="003823FF">
        <w:rPr>
          <w:rFonts w:eastAsia="Times New Roman" w:cs="Arial"/>
          <w:b/>
          <w:color w:val="002060"/>
          <w:sz w:val="24"/>
          <w:szCs w:val="24"/>
        </w:rPr>
        <w:t xml:space="preserve">Bonus proportions: </w:t>
      </w:r>
      <w:r w:rsidR="00EA319C">
        <w:rPr>
          <w:rFonts w:eastAsia="Times New Roman" w:cs="Arial"/>
          <w:color w:val="002060"/>
          <w:sz w:val="24"/>
          <w:szCs w:val="24"/>
        </w:rPr>
        <w:t>T</w:t>
      </w:r>
      <w:r w:rsidRPr="00EA319C">
        <w:rPr>
          <w:rFonts w:eastAsia="Times New Roman" w:cs="Arial"/>
          <w:color w:val="002060"/>
          <w:sz w:val="24"/>
          <w:szCs w:val="24"/>
        </w:rPr>
        <w:t>he proportions of male and female relevant employees who were paid bonus pay</w:t>
      </w:r>
      <w:r w:rsidRPr="003823FF">
        <w:rPr>
          <w:rFonts w:eastAsia="Times New Roman" w:cs="Arial"/>
          <w:b/>
          <w:color w:val="002060"/>
          <w:sz w:val="24"/>
          <w:szCs w:val="24"/>
        </w:rPr>
        <w:t xml:space="preserve"> </w:t>
      </w:r>
      <w:r w:rsidR="00EA319C" w:rsidRPr="00EA319C">
        <w:rPr>
          <w:rFonts w:eastAsia="Times New Roman" w:cs="Arial"/>
          <w:color w:val="002060"/>
          <w:sz w:val="24"/>
          <w:szCs w:val="24"/>
        </w:rPr>
        <w:t>during the relevant period</w:t>
      </w:r>
    </w:p>
    <w:p w14:paraId="41C418FD" w14:textId="77777777" w:rsidR="00EA319C" w:rsidRPr="00EA319C" w:rsidRDefault="003823FF" w:rsidP="004650D6">
      <w:pPr>
        <w:spacing w:line="240" w:lineRule="auto"/>
        <w:rPr>
          <w:rFonts w:eastAsia="Times New Roman" w:cs="Arial"/>
          <w:color w:val="002060"/>
          <w:sz w:val="24"/>
          <w:szCs w:val="24"/>
        </w:rPr>
      </w:pPr>
      <w:r w:rsidRPr="003823FF">
        <w:rPr>
          <w:rFonts w:eastAsia="Times New Roman" w:cs="Arial"/>
          <w:b/>
          <w:color w:val="002060"/>
          <w:sz w:val="24"/>
          <w:szCs w:val="24"/>
        </w:rPr>
        <w:t xml:space="preserve">Quartile pay bands: </w:t>
      </w:r>
      <w:r w:rsidR="00EA319C">
        <w:rPr>
          <w:rFonts w:eastAsia="Times New Roman" w:cs="Arial"/>
          <w:color w:val="002060"/>
          <w:sz w:val="24"/>
          <w:szCs w:val="24"/>
        </w:rPr>
        <w:t>T</w:t>
      </w:r>
      <w:r w:rsidRPr="00EA319C">
        <w:rPr>
          <w:rFonts w:eastAsia="Times New Roman" w:cs="Arial"/>
          <w:color w:val="002060"/>
          <w:sz w:val="24"/>
          <w:szCs w:val="24"/>
        </w:rPr>
        <w:t xml:space="preserve">he proportions of male and female full-pay relevant employees in the lower, lower middle, upper middle and </w:t>
      </w:r>
      <w:r w:rsidR="00EA319C">
        <w:rPr>
          <w:rFonts w:eastAsia="Times New Roman" w:cs="Arial"/>
          <w:color w:val="002060"/>
          <w:sz w:val="24"/>
          <w:szCs w:val="24"/>
        </w:rPr>
        <w:t>upper quartile pay bands.</w:t>
      </w:r>
      <w:r w:rsidR="00EA319C" w:rsidRPr="005C5ABD">
        <w:rPr>
          <w:sz w:val="24"/>
          <w:szCs w:val="24"/>
        </w:rPr>
        <w:t xml:space="preserve"> </w:t>
      </w:r>
    </w:p>
    <w:p w14:paraId="1AFF6EF0" w14:textId="77777777" w:rsidR="003823FF" w:rsidRDefault="00EA319C" w:rsidP="00BD7CED">
      <w:pPr>
        <w:rPr>
          <w:rFonts w:eastAsia="Times New Roman" w:cs="Arial"/>
          <w:color w:val="002060"/>
          <w:sz w:val="20"/>
          <w:szCs w:val="20"/>
        </w:rPr>
      </w:pPr>
      <w:r w:rsidRPr="00EA319C">
        <w:rPr>
          <w:rFonts w:eastAsia="Times New Roman" w:cs="Arial"/>
          <w:color w:val="002060"/>
          <w:sz w:val="20"/>
          <w:szCs w:val="20"/>
        </w:rPr>
        <w:t>A</w:t>
      </w:r>
      <w:r>
        <w:rPr>
          <w:rFonts w:eastAsia="Times New Roman" w:cs="Arial"/>
          <w:color w:val="002060"/>
          <w:sz w:val="20"/>
          <w:szCs w:val="20"/>
        </w:rPr>
        <w:t xml:space="preserve"> relevant full-pay employee is any relevant employee in receipt of full pay. For the purposes of this report any relevant employees that are on reduced pay are not included (sick, maternity, unpaid leave </w:t>
      </w:r>
      <w:r w:rsidR="00B55E74">
        <w:rPr>
          <w:rFonts w:eastAsia="Times New Roman" w:cs="Arial"/>
          <w:color w:val="002060"/>
          <w:sz w:val="20"/>
          <w:szCs w:val="20"/>
        </w:rPr>
        <w:t>etc.</w:t>
      </w:r>
      <w:r>
        <w:rPr>
          <w:rFonts w:eastAsia="Times New Roman" w:cs="Arial"/>
          <w:color w:val="002060"/>
          <w:sz w:val="20"/>
          <w:szCs w:val="20"/>
        </w:rPr>
        <w:t>)</w:t>
      </w:r>
    </w:p>
    <w:p w14:paraId="544FBC89" w14:textId="77777777" w:rsidR="00F610F4" w:rsidRPr="00F610F4" w:rsidRDefault="00F610F4" w:rsidP="00F610F4">
      <w:pPr>
        <w:spacing w:after="0" w:line="240" w:lineRule="auto"/>
        <w:rPr>
          <w:rFonts w:eastAsia="Times New Roman" w:cs="Arial"/>
          <w:b/>
          <w:color w:val="002060"/>
          <w:sz w:val="24"/>
          <w:szCs w:val="24"/>
        </w:rPr>
      </w:pPr>
      <w:r w:rsidRPr="00F610F4">
        <w:rPr>
          <w:rFonts w:eastAsia="Times New Roman" w:cs="Arial"/>
          <w:b/>
          <w:color w:val="002060"/>
          <w:sz w:val="24"/>
          <w:szCs w:val="24"/>
        </w:rPr>
        <w:lastRenderedPageBreak/>
        <w:t>Workforce data</w:t>
      </w:r>
    </w:p>
    <w:p w14:paraId="1200BB53" w14:textId="77777777" w:rsidR="00F610F4" w:rsidRPr="00F610F4" w:rsidRDefault="00F610F4" w:rsidP="00F610F4">
      <w:pPr>
        <w:spacing w:after="0" w:line="240" w:lineRule="auto"/>
        <w:rPr>
          <w:rFonts w:eastAsia="Times New Roman" w:cs="Arial"/>
          <w:color w:val="002060"/>
          <w:sz w:val="24"/>
          <w:szCs w:val="24"/>
        </w:rPr>
      </w:pPr>
      <w:r>
        <w:rPr>
          <w:rFonts w:eastAsia="Times New Roman" w:cs="Arial"/>
          <w:color w:val="002060"/>
          <w:sz w:val="24"/>
          <w:szCs w:val="24"/>
        </w:rPr>
        <w:t>A</w:t>
      </w:r>
      <w:r w:rsidRPr="00F610F4">
        <w:rPr>
          <w:rFonts w:eastAsia="Times New Roman" w:cs="Arial"/>
          <w:color w:val="002060"/>
          <w:sz w:val="24"/>
          <w:szCs w:val="24"/>
        </w:rPr>
        <w:t xml:space="preserve">s an employer </w:t>
      </w:r>
      <w:r>
        <w:rPr>
          <w:rFonts w:eastAsia="Times New Roman" w:cs="Arial"/>
          <w:color w:val="002060"/>
          <w:sz w:val="24"/>
          <w:szCs w:val="24"/>
        </w:rPr>
        <w:t xml:space="preserve">we are required </w:t>
      </w:r>
      <w:r w:rsidRPr="00F610F4">
        <w:rPr>
          <w:rFonts w:eastAsia="Times New Roman" w:cs="Arial"/>
          <w:color w:val="002060"/>
          <w:sz w:val="24"/>
          <w:szCs w:val="24"/>
        </w:rPr>
        <w:t xml:space="preserve">to calculate the gender pay gap using a snap shot of data collated on </w:t>
      </w:r>
      <w:r>
        <w:rPr>
          <w:rFonts w:eastAsia="Times New Roman" w:cs="Arial"/>
          <w:color w:val="002060"/>
          <w:sz w:val="24"/>
          <w:szCs w:val="24"/>
        </w:rPr>
        <w:t>5</w:t>
      </w:r>
      <w:r w:rsidRPr="00F610F4">
        <w:rPr>
          <w:rFonts w:eastAsia="Times New Roman" w:cs="Arial"/>
          <w:color w:val="002060"/>
          <w:sz w:val="24"/>
          <w:szCs w:val="24"/>
          <w:vertAlign w:val="superscript"/>
        </w:rPr>
        <w:t>th</w:t>
      </w:r>
      <w:r>
        <w:rPr>
          <w:rFonts w:eastAsia="Times New Roman" w:cs="Arial"/>
          <w:color w:val="002060"/>
          <w:sz w:val="24"/>
          <w:szCs w:val="24"/>
        </w:rPr>
        <w:t xml:space="preserve"> April 20</w:t>
      </w:r>
      <w:r w:rsidR="00933FDB">
        <w:rPr>
          <w:rFonts w:eastAsia="Times New Roman" w:cs="Arial"/>
          <w:color w:val="002060"/>
          <w:sz w:val="24"/>
          <w:szCs w:val="24"/>
        </w:rPr>
        <w:t>20</w:t>
      </w:r>
      <w:r>
        <w:rPr>
          <w:rFonts w:eastAsia="Times New Roman" w:cs="Arial"/>
          <w:color w:val="002060"/>
          <w:sz w:val="24"/>
          <w:szCs w:val="24"/>
        </w:rPr>
        <w:t xml:space="preserve"> </w:t>
      </w:r>
      <w:r w:rsidRPr="00F610F4">
        <w:rPr>
          <w:rFonts w:eastAsia="Times New Roman" w:cs="Arial"/>
          <w:color w:val="002060"/>
          <w:sz w:val="24"/>
          <w:szCs w:val="24"/>
        </w:rPr>
        <w:t>for ordinary pay and bonus pay calculations are based on a reference period of 12 months (</w:t>
      </w:r>
      <w:r>
        <w:rPr>
          <w:rFonts w:eastAsia="Times New Roman" w:cs="Arial"/>
          <w:color w:val="002060"/>
          <w:sz w:val="24"/>
          <w:szCs w:val="24"/>
        </w:rPr>
        <w:t>6</w:t>
      </w:r>
      <w:r w:rsidRPr="00F610F4">
        <w:rPr>
          <w:rFonts w:eastAsia="Times New Roman" w:cs="Arial"/>
          <w:color w:val="002060"/>
          <w:sz w:val="24"/>
          <w:szCs w:val="24"/>
          <w:vertAlign w:val="superscript"/>
        </w:rPr>
        <w:t>th</w:t>
      </w:r>
      <w:r>
        <w:rPr>
          <w:rFonts w:eastAsia="Times New Roman" w:cs="Arial"/>
          <w:color w:val="002060"/>
          <w:sz w:val="24"/>
          <w:szCs w:val="24"/>
        </w:rPr>
        <w:t xml:space="preserve"> April 201</w:t>
      </w:r>
      <w:r w:rsidR="00933FDB">
        <w:rPr>
          <w:rFonts w:eastAsia="Times New Roman" w:cs="Arial"/>
          <w:color w:val="002060"/>
          <w:sz w:val="24"/>
          <w:szCs w:val="24"/>
        </w:rPr>
        <w:t>9</w:t>
      </w:r>
      <w:r>
        <w:rPr>
          <w:rFonts w:eastAsia="Times New Roman" w:cs="Arial"/>
          <w:color w:val="002060"/>
          <w:sz w:val="24"/>
          <w:szCs w:val="24"/>
        </w:rPr>
        <w:t xml:space="preserve"> – 5</w:t>
      </w:r>
      <w:r w:rsidRPr="00F610F4">
        <w:rPr>
          <w:rFonts w:eastAsia="Times New Roman" w:cs="Arial"/>
          <w:color w:val="002060"/>
          <w:sz w:val="24"/>
          <w:szCs w:val="24"/>
          <w:vertAlign w:val="superscript"/>
        </w:rPr>
        <w:t>th</w:t>
      </w:r>
      <w:r>
        <w:rPr>
          <w:rFonts w:eastAsia="Times New Roman" w:cs="Arial"/>
          <w:color w:val="002060"/>
          <w:sz w:val="24"/>
          <w:szCs w:val="24"/>
        </w:rPr>
        <w:t xml:space="preserve"> April </w:t>
      </w:r>
      <w:r w:rsidR="00933FDB">
        <w:rPr>
          <w:rFonts w:eastAsia="Times New Roman" w:cs="Arial"/>
          <w:color w:val="002060"/>
          <w:sz w:val="24"/>
          <w:szCs w:val="24"/>
        </w:rPr>
        <w:t>2020</w:t>
      </w:r>
      <w:r w:rsidRPr="00F610F4">
        <w:rPr>
          <w:rFonts w:eastAsia="Times New Roman" w:cs="Arial"/>
          <w:color w:val="002060"/>
          <w:sz w:val="24"/>
          <w:szCs w:val="24"/>
        </w:rPr>
        <w:t>).</w:t>
      </w:r>
    </w:p>
    <w:p w14:paraId="411F13AD" w14:textId="77777777" w:rsidR="00F610F4" w:rsidRDefault="00F610F4" w:rsidP="00F610F4">
      <w:pPr>
        <w:spacing w:after="0"/>
        <w:rPr>
          <w:rFonts w:eastAsia="Times New Roman" w:cs="Arial"/>
          <w:color w:val="002060"/>
          <w:sz w:val="24"/>
          <w:szCs w:val="24"/>
        </w:rPr>
      </w:pPr>
    </w:p>
    <w:p w14:paraId="6042BA59" w14:textId="77777777" w:rsidR="00F610F4" w:rsidRPr="00F610F4" w:rsidRDefault="00F610F4" w:rsidP="00F610F4">
      <w:pPr>
        <w:spacing w:after="0"/>
        <w:rPr>
          <w:rFonts w:eastAsia="Times New Roman" w:cs="Arial"/>
          <w:color w:val="002060"/>
          <w:sz w:val="24"/>
          <w:szCs w:val="24"/>
        </w:rPr>
      </w:pPr>
      <w:r w:rsidRPr="00F610F4">
        <w:rPr>
          <w:rFonts w:eastAsia="Times New Roman" w:cs="Arial"/>
          <w:color w:val="002060"/>
          <w:sz w:val="24"/>
          <w:szCs w:val="24"/>
        </w:rPr>
        <w:t>What is included in the calculations:-</w:t>
      </w:r>
    </w:p>
    <w:p w14:paraId="7AF3D4C0" w14:textId="77777777" w:rsidR="00F610F4" w:rsidRPr="00F610F4" w:rsidRDefault="00F610F4" w:rsidP="00F610F4">
      <w:pPr>
        <w:spacing w:after="0"/>
        <w:rPr>
          <w:rFonts w:eastAsia="Times New Roman" w:cs="Arial"/>
          <w:color w:val="002060"/>
          <w:sz w:val="24"/>
          <w:szCs w:val="24"/>
        </w:rPr>
      </w:pPr>
      <w:r w:rsidRPr="00F610F4">
        <w:rPr>
          <w:rFonts w:eastAsia="Times New Roman" w:cs="Arial"/>
          <w:color w:val="002060"/>
          <w:sz w:val="24"/>
          <w:szCs w:val="24"/>
        </w:rPr>
        <w:t>•</w:t>
      </w:r>
      <w:r w:rsidRPr="00F610F4">
        <w:rPr>
          <w:rFonts w:eastAsia="Times New Roman" w:cs="Arial"/>
          <w:color w:val="002060"/>
          <w:sz w:val="24"/>
          <w:szCs w:val="24"/>
        </w:rPr>
        <w:tab/>
        <w:t>Basic pay (ordinary pay)</w:t>
      </w:r>
    </w:p>
    <w:p w14:paraId="7735C395" w14:textId="77777777" w:rsidR="00F610F4" w:rsidRPr="00F610F4" w:rsidRDefault="00F610F4" w:rsidP="00F610F4">
      <w:pPr>
        <w:spacing w:after="0"/>
        <w:rPr>
          <w:rFonts w:eastAsia="Times New Roman" w:cs="Arial"/>
          <w:color w:val="002060"/>
          <w:sz w:val="24"/>
          <w:szCs w:val="24"/>
        </w:rPr>
      </w:pPr>
      <w:r w:rsidRPr="00F610F4">
        <w:rPr>
          <w:rFonts w:eastAsia="Times New Roman" w:cs="Arial"/>
          <w:color w:val="002060"/>
          <w:sz w:val="24"/>
          <w:szCs w:val="24"/>
        </w:rPr>
        <w:t>•</w:t>
      </w:r>
      <w:r w:rsidRPr="00F610F4">
        <w:rPr>
          <w:rFonts w:eastAsia="Times New Roman" w:cs="Arial"/>
          <w:color w:val="002060"/>
          <w:sz w:val="24"/>
          <w:szCs w:val="24"/>
        </w:rPr>
        <w:tab/>
        <w:t>Full paid leave including annual leave, sick, maternity, paternity, adoption or parental leave (ordinary pay)</w:t>
      </w:r>
    </w:p>
    <w:p w14:paraId="649D1274" w14:textId="77777777" w:rsidR="00F610F4" w:rsidRPr="00F610F4" w:rsidRDefault="00F610F4" w:rsidP="00F610F4">
      <w:pPr>
        <w:spacing w:after="0"/>
        <w:rPr>
          <w:rFonts w:eastAsia="Times New Roman" w:cs="Arial"/>
          <w:color w:val="002060"/>
          <w:sz w:val="24"/>
          <w:szCs w:val="24"/>
        </w:rPr>
      </w:pPr>
      <w:r w:rsidRPr="00F610F4">
        <w:rPr>
          <w:rFonts w:eastAsia="Times New Roman" w:cs="Arial"/>
          <w:color w:val="002060"/>
          <w:sz w:val="24"/>
          <w:szCs w:val="24"/>
        </w:rPr>
        <w:t>•</w:t>
      </w:r>
      <w:r w:rsidRPr="00F610F4">
        <w:rPr>
          <w:rFonts w:eastAsia="Times New Roman" w:cs="Arial"/>
          <w:color w:val="002060"/>
          <w:sz w:val="24"/>
          <w:szCs w:val="24"/>
        </w:rPr>
        <w:tab/>
        <w:t xml:space="preserve">On call allowances </w:t>
      </w:r>
      <w:r w:rsidR="006E188C" w:rsidRPr="00F610F4">
        <w:rPr>
          <w:rFonts w:eastAsia="Times New Roman" w:cs="Arial"/>
          <w:color w:val="002060"/>
          <w:sz w:val="24"/>
          <w:szCs w:val="24"/>
        </w:rPr>
        <w:t>and shift</w:t>
      </w:r>
      <w:r w:rsidRPr="00F610F4">
        <w:rPr>
          <w:rFonts w:eastAsia="Times New Roman" w:cs="Arial"/>
          <w:color w:val="002060"/>
          <w:sz w:val="24"/>
          <w:szCs w:val="24"/>
        </w:rPr>
        <w:t xml:space="preserve"> premium payments (ordinary pay)</w:t>
      </w:r>
    </w:p>
    <w:p w14:paraId="78D9D88F" w14:textId="77777777" w:rsidR="00F610F4" w:rsidRPr="00F610F4" w:rsidRDefault="00F610F4" w:rsidP="00F610F4">
      <w:pPr>
        <w:spacing w:after="0"/>
        <w:rPr>
          <w:rFonts w:eastAsia="Times New Roman" w:cs="Arial"/>
          <w:color w:val="002060"/>
          <w:sz w:val="24"/>
          <w:szCs w:val="24"/>
        </w:rPr>
      </w:pPr>
      <w:r w:rsidRPr="00F610F4">
        <w:rPr>
          <w:rFonts w:eastAsia="Times New Roman" w:cs="Arial"/>
          <w:color w:val="002060"/>
          <w:sz w:val="24"/>
          <w:szCs w:val="24"/>
        </w:rPr>
        <w:t>•</w:t>
      </w:r>
      <w:r w:rsidRPr="00F610F4">
        <w:rPr>
          <w:rFonts w:eastAsia="Times New Roman" w:cs="Arial"/>
          <w:color w:val="002060"/>
          <w:sz w:val="24"/>
          <w:szCs w:val="24"/>
        </w:rPr>
        <w:tab/>
        <w:t>Additional programmed activities for Consultants (ordinary pay)</w:t>
      </w:r>
    </w:p>
    <w:p w14:paraId="5855DFC8" w14:textId="77777777" w:rsidR="00F610F4" w:rsidRDefault="00F610F4" w:rsidP="00F610F4">
      <w:pPr>
        <w:spacing w:after="0"/>
        <w:rPr>
          <w:rFonts w:eastAsia="Times New Roman" w:cs="Arial"/>
          <w:color w:val="002060"/>
          <w:sz w:val="24"/>
          <w:szCs w:val="24"/>
        </w:rPr>
      </w:pPr>
      <w:r w:rsidRPr="00F610F4">
        <w:rPr>
          <w:rFonts w:eastAsia="Times New Roman" w:cs="Arial"/>
          <w:color w:val="002060"/>
          <w:sz w:val="24"/>
          <w:szCs w:val="24"/>
        </w:rPr>
        <w:t>•</w:t>
      </w:r>
      <w:r w:rsidRPr="00F610F4">
        <w:rPr>
          <w:rFonts w:eastAsia="Times New Roman" w:cs="Arial"/>
          <w:color w:val="002060"/>
          <w:sz w:val="24"/>
          <w:szCs w:val="24"/>
        </w:rPr>
        <w:tab/>
        <w:t>Clinical Excellence Awards for Consultants (bonus)</w:t>
      </w:r>
    </w:p>
    <w:p w14:paraId="7176E2FB" w14:textId="77777777" w:rsidR="00F610F4" w:rsidRPr="00F610F4" w:rsidRDefault="00F610F4" w:rsidP="00F610F4">
      <w:pPr>
        <w:spacing w:after="0"/>
        <w:rPr>
          <w:rFonts w:eastAsia="Times New Roman" w:cs="Arial"/>
          <w:color w:val="002060"/>
          <w:sz w:val="24"/>
          <w:szCs w:val="24"/>
        </w:rPr>
      </w:pPr>
    </w:p>
    <w:p w14:paraId="78EEA387" w14:textId="77777777" w:rsidR="00F610F4" w:rsidRPr="00F610F4" w:rsidRDefault="00F610F4" w:rsidP="00F610F4">
      <w:pPr>
        <w:spacing w:after="0"/>
        <w:rPr>
          <w:rFonts w:eastAsia="Times New Roman" w:cs="Arial"/>
          <w:color w:val="002060"/>
          <w:sz w:val="24"/>
          <w:szCs w:val="24"/>
        </w:rPr>
      </w:pPr>
      <w:r w:rsidRPr="00F610F4">
        <w:rPr>
          <w:rFonts w:eastAsia="Times New Roman" w:cs="Arial"/>
          <w:color w:val="002060"/>
          <w:sz w:val="24"/>
          <w:szCs w:val="24"/>
        </w:rPr>
        <w:t>What is excluded from the calculations:-</w:t>
      </w:r>
    </w:p>
    <w:p w14:paraId="7604650E" w14:textId="77777777" w:rsidR="00F610F4" w:rsidRPr="00F610F4" w:rsidRDefault="00F610F4" w:rsidP="00F610F4">
      <w:pPr>
        <w:spacing w:after="0"/>
        <w:ind w:left="720" w:hanging="720"/>
        <w:rPr>
          <w:rFonts w:eastAsia="Times New Roman" w:cs="Arial"/>
          <w:color w:val="002060"/>
          <w:sz w:val="24"/>
          <w:szCs w:val="24"/>
        </w:rPr>
      </w:pPr>
      <w:r w:rsidRPr="00F610F4">
        <w:rPr>
          <w:rFonts w:eastAsia="Times New Roman" w:cs="Arial"/>
          <w:color w:val="002060"/>
          <w:sz w:val="24"/>
          <w:szCs w:val="24"/>
        </w:rPr>
        <w:t>•</w:t>
      </w:r>
      <w:r w:rsidRPr="00F610F4">
        <w:rPr>
          <w:rFonts w:eastAsia="Times New Roman" w:cs="Arial"/>
          <w:color w:val="002060"/>
          <w:sz w:val="24"/>
          <w:szCs w:val="24"/>
        </w:rPr>
        <w:tab/>
        <w:t xml:space="preserve">Any member of staff who is not receiving full pay when the ‘snap shot’ data is taken. For example those employees on statutory maternity pay, sick pay or parental leave. </w:t>
      </w:r>
    </w:p>
    <w:p w14:paraId="21A5C366" w14:textId="77777777" w:rsidR="00F610F4" w:rsidRPr="00F610F4" w:rsidRDefault="00F610F4" w:rsidP="00F610F4">
      <w:pPr>
        <w:spacing w:after="0"/>
        <w:rPr>
          <w:rFonts w:eastAsia="Times New Roman" w:cs="Arial"/>
          <w:color w:val="002060"/>
          <w:sz w:val="24"/>
          <w:szCs w:val="24"/>
        </w:rPr>
      </w:pPr>
      <w:r w:rsidRPr="00F610F4">
        <w:rPr>
          <w:rFonts w:eastAsia="Times New Roman" w:cs="Arial"/>
          <w:color w:val="002060"/>
          <w:sz w:val="24"/>
          <w:szCs w:val="24"/>
        </w:rPr>
        <w:t>•</w:t>
      </w:r>
      <w:r w:rsidRPr="00F610F4">
        <w:rPr>
          <w:rFonts w:eastAsia="Times New Roman" w:cs="Arial"/>
          <w:color w:val="002060"/>
          <w:sz w:val="24"/>
          <w:szCs w:val="24"/>
        </w:rPr>
        <w:tab/>
        <w:t xml:space="preserve">Overtime pay (including Waiting List Initiatives) </w:t>
      </w:r>
    </w:p>
    <w:p w14:paraId="6F45D686" w14:textId="77777777" w:rsidR="00F610F4" w:rsidRPr="00F610F4" w:rsidRDefault="00F610F4" w:rsidP="00F610F4">
      <w:pPr>
        <w:spacing w:after="0"/>
        <w:rPr>
          <w:rFonts w:eastAsia="Times New Roman" w:cs="Arial"/>
          <w:color w:val="002060"/>
          <w:sz w:val="24"/>
          <w:szCs w:val="24"/>
        </w:rPr>
      </w:pPr>
      <w:r w:rsidRPr="00F610F4">
        <w:rPr>
          <w:rFonts w:eastAsia="Times New Roman" w:cs="Arial"/>
          <w:color w:val="002060"/>
          <w:sz w:val="24"/>
          <w:szCs w:val="24"/>
        </w:rPr>
        <w:t>•</w:t>
      </w:r>
      <w:r w:rsidRPr="00F610F4">
        <w:rPr>
          <w:rFonts w:eastAsia="Times New Roman" w:cs="Arial"/>
          <w:color w:val="002060"/>
          <w:sz w:val="24"/>
          <w:szCs w:val="24"/>
        </w:rPr>
        <w:tab/>
        <w:t xml:space="preserve">Expenses, for example mileage for use of vehicle </w:t>
      </w:r>
    </w:p>
    <w:p w14:paraId="6543D4E7" w14:textId="77777777" w:rsidR="00F610F4" w:rsidRDefault="00F610F4" w:rsidP="00F610F4">
      <w:pPr>
        <w:spacing w:after="0"/>
        <w:rPr>
          <w:rFonts w:eastAsia="Times New Roman" w:cs="Arial"/>
          <w:color w:val="002060"/>
          <w:sz w:val="24"/>
          <w:szCs w:val="24"/>
        </w:rPr>
      </w:pPr>
      <w:r w:rsidRPr="00F610F4">
        <w:rPr>
          <w:rFonts w:eastAsia="Times New Roman" w:cs="Arial"/>
          <w:color w:val="002060"/>
          <w:sz w:val="24"/>
          <w:szCs w:val="24"/>
        </w:rPr>
        <w:t>•</w:t>
      </w:r>
      <w:r w:rsidRPr="00F610F4">
        <w:rPr>
          <w:rFonts w:eastAsia="Times New Roman" w:cs="Arial"/>
          <w:color w:val="002060"/>
          <w:sz w:val="24"/>
          <w:szCs w:val="24"/>
        </w:rPr>
        <w:tab/>
        <w:t>Salary sacrifice schemes</w:t>
      </w:r>
    </w:p>
    <w:p w14:paraId="764B966E" w14:textId="77777777" w:rsidR="00F610F4" w:rsidRDefault="00F610F4" w:rsidP="00F610F4">
      <w:pPr>
        <w:spacing w:after="0"/>
        <w:rPr>
          <w:rFonts w:eastAsia="Times New Roman" w:cs="Arial"/>
          <w:color w:val="002060"/>
          <w:sz w:val="24"/>
          <w:szCs w:val="24"/>
        </w:rPr>
      </w:pPr>
    </w:p>
    <w:p w14:paraId="4CD6E51C" w14:textId="77777777" w:rsidR="00274025" w:rsidRPr="00274025" w:rsidRDefault="00274025" w:rsidP="00BD7CED">
      <w:pPr>
        <w:rPr>
          <w:rFonts w:eastAsia="Times New Roman" w:cs="Arial"/>
          <w:color w:val="002060"/>
          <w:sz w:val="24"/>
          <w:szCs w:val="24"/>
        </w:rPr>
      </w:pPr>
      <w:r w:rsidRPr="00274025">
        <w:rPr>
          <w:rFonts w:eastAsia="Times New Roman" w:cs="Arial"/>
          <w:color w:val="002060"/>
          <w:sz w:val="24"/>
          <w:szCs w:val="24"/>
        </w:rPr>
        <w:t xml:space="preserve">Gender Pay Gap Report </w:t>
      </w:r>
      <w:r w:rsidR="00933FDB">
        <w:rPr>
          <w:rFonts w:eastAsia="Times New Roman" w:cs="Arial"/>
          <w:color w:val="002060"/>
          <w:sz w:val="24"/>
          <w:szCs w:val="24"/>
        </w:rPr>
        <w:t>2019</w:t>
      </w:r>
      <w:r>
        <w:rPr>
          <w:rFonts w:eastAsia="Times New Roman" w:cs="Arial"/>
          <w:color w:val="002060"/>
          <w:sz w:val="24"/>
          <w:szCs w:val="24"/>
        </w:rPr>
        <w:t xml:space="preserve"> is available at </w:t>
      </w:r>
      <w:hyperlink r:id="rId11" w:history="1">
        <w:r w:rsidR="00933FDB" w:rsidRPr="00933FDB">
          <w:rPr>
            <w:rStyle w:val="Hyperlink"/>
            <w:rFonts w:eastAsia="Times New Roman" w:cs="Arial"/>
            <w:sz w:val="24"/>
            <w:szCs w:val="24"/>
          </w:rPr>
          <w:t>GPGR 2019</w:t>
        </w:r>
      </w:hyperlink>
      <w:r w:rsidR="00933FDB">
        <w:rPr>
          <w:rFonts w:eastAsia="Times New Roman" w:cs="Arial"/>
          <w:color w:val="002060"/>
          <w:sz w:val="24"/>
          <w:szCs w:val="24"/>
        </w:rPr>
        <w:t>.</w:t>
      </w:r>
      <w:r w:rsidRPr="00C14DBB">
        <w:rPr>
          <w:rFonts w:eastAsia="Times New Roman" w:cs="Arial"/>
          <w:color w:val="FF0000"/>
          <w:sz w:val="24"/>
          <w:szCs w:val="24"/>
        </w:rPr>
        <w:t xml:space="preserve"> </w:t>
      </w:r>
    </w:p>
    <w:p w14:paraId="6B20336B" w14:textId="77777777" w:rsidR="00F610F4" w:rsidRDefault="00F610F4" w:rsidP="00C1212E">
      <w:pPr>
        <w:rPr>
          <w:b/>
          <w:color w:val="002060"/>
          <w:sz w:val="40"/>
          <w:szCs w:val="40"/>
        </w:rPr>
      </w:pPr>
    </w:p>
    <w:p w14:paraId="4D617E51" w14:textId="77777777" w:rsidR="00F610F4" w:rsidRDefault="00F610F4" w:rsidP="00C1212E">
      <w:pPr>
        <w:rPr>
          <w:b/>
          <w:color w:val="002060"/>
          <w:sz w:val="40"/>
          <w:szCs w:val="40"/>
        </w:rPr>
      </w:pPr>
    </w:p>
    <w:p w14:paraId="3037B960" w14:textId="77777777" w:rsidR="00F610F4" w:rsidRDefault="00F610F4" w:rsidP="00C1212E">
      <w:pPr>
        <w:rPr>
          <w:b/>
          <w:color w:val="002060"/>
          <w:sz w:val="40"/>
          <w:szCs w:val="40"/>
        </w:rPr>
      </w:pPr>
    </w:p>
    <w:p w14:paraId="64CF6A72" w14:textId="77777777" w:rsidR="00C1212E" w:rsidRPr="006A417D" w:rsidRDefault="004650D6" w:rsidP="00C1212E">
      <w:pPr>
        <w:rPr>
          <w:b/>
          <w:color w:val="002060"/>
          <w:sz w:val="40"/>
          <w:szCs w:val="40"/>
        </w:rPr>
      </w:pPr>
      <w:r w:rsidRPr="006A417D">
        <w:rPr>
          <w:b/>
          <w:color w:val="002060"/>
          <w:sz w:val="40"/>
          <w:szCs w:val="40"/>
        </w:rPr>
        <w:lastRenderedPageBreak/>
        <w:t>At a glance – our gender pay gap</w:t>
      </w:r>
      <w:r w:rsidR="00C1212E" w:rsidRPr="006A417D">
        <w:rPr>
          <w:b/>
          <w:color w:val="002060"/>
          <w:sz w:val="40"/>
          <w:szCs w:val="40"/>
        </w:rPr>
        <w:t xml:space="preserve">: </w:t>
      </w:r>
    </w:p>
    <w:p w14:paraId="043377B3" w14:textId="77777777" w:rsidR="00BD7CED" w:rsidRPr="00C1212E" w:rsidRDefault="004650D6" w:rsidP="00C1212E">
      <w:pPr>
        <w:rPr>
          <w:rFonts w:eastAsia="Times New Roman" w:cs="Arial"/>
          <w:color w:val="002060"/>
          <w:sz w:val="24"/>
          <w:szCs w:val="24"/>
          <w:lang w:val="en-US"/>
        </w:rPr>
      </w:pPr>
      <w:r w:rsidRPr="00C1212E">
        <w:rPr>
          <w:rFonts w:eastAsia="Times New Roman" w:cs="Arial"/>
          <w:color w:val="002060"/>
          <w:sz w:val="24"/>
          <w:szCs w:val="24"/>
          <w:lang w:val="en-US"/>
        </w:rPr>
        <w:t>The</w:t>
      </w:r>
      <w:r w:rsidR="00A97D9C">
        <w:rPr>
          <w:rFonts w:eastAsia="Times New Roman" w:cs="Arial"/>
          <w:color w:val="002060"/>
          <w:sz w:val="24"/>
          <w:szCs w:val="24"/>
          <w:lang w:val="en-US"/>
        </w:rPr>
        <w:t xml:space="preserve"> Company employed </w:t>
      </w:r>
      <w:r w:rsidR="00933FDB">
        <w:rPr>
          <w:rFonts w:eastAsia="Times New Roman" w:cs="Arial"/>
          <w:color w:val="002060"/>
          <w:sz w:val="24"/>
          <w:szCs w:val="24"/>
          <w:lang w:val="en-US"/>
        </w:rPr>
        <w:t>741</w:t>
      </w:r>
      <w:r w:rsidR="00934640">
        <w:rPr>
          <w:rFonts w:eastAsia="Times New Roman" w:cs="Arial"/>
          <w:color w:val="002060"/>
          <w:sz w:val="24"/>
          <w:szCs w:val="24"/>
          <w:lang w:val="en-US"/>
        </w:rPr>
        <w:t xml:space="preserve"> </w:t>
      </w:r>
      <w:r w:rsidRPr="00C1212E">
        <w:rPr>
          <w:rFonts w:eastAsia="Times New Roman" w:cs="Arial"/>
          <w:color w:val="002060"/>
          <w:sz w:val="24"/>
          <w:szCs w:val="24"/>
          <w:lang w:val="en-US"/>
        </w:rPr>
        <w:t xml:space="preserve">staff on the snapshot date of </w:t>
      </w:r>
      <w:r w:rsidR="004026A4">
        <w:rPr>
          <w:rFonts w:eastAsia="Times New Roman" w:cs="Arial"/>
          <w:color w:val="002060"/>
          <w:sz w:val="24"/>
          <w:szCs w:val="24"/>
          <w:lang w:val="en-US"/>
        </w:rPr>
        <w:t>5</w:t>
      </w:r>
      <w:r w:rsidR="004026A4" w:rsidRPr="004026A4">
        <w:rPr>
          <w:rFonts w:eastAsia="Times New Roman" w:cs="Arial"/>
          <w:color w:val="002060"/>
          <w:sz w:val="24"/>
          <w:szCs w:val="24"/>
          <w:vertAlign w:val="superscript"/>
          <w:lang w:val="en-US"/>
        </w:rPr>
        <w:t>th</w:t>
      </w:r>
      <w:r w:rsidR="004026A4">
        <w:rPr>
          <w:rFonts w:eastAsia="Times New Roman" w:cs="Arial"/>
          <w:color w:val="002060"/>
          <w:sz w:val="24"/>
          <w:szCs w:val="24"/>
          <w:lang w:val="en-US"/>
        </w:rPr>
        <w:t xml:space="preserve"> April </w:t>
      </w:r>
      <w:r w:rsidR="00E1304D">
        <w:rPr>
          <w:rFonts w:eastAsia="Times New Roman" w:cs="Arial"/>
          <w:color w:val="002060"/>
          <w:sz w:val="24"/>
          <w:szCs w:val="24"/>
          <w:lang w:val="en-US"/>
        </w:rPr>
        <w:t>20</w:t>
      </w:r>
      <w:r w:rsidR="00933FDB">
        <w:rPr>
          <w:rFonts w:eastAsia="Times New Roman" w:cs="Arial"/>
          <w:color w:val="002060"/>
          <w:sz w:val="24"/>
          <w:szCs w:val="24"/>
          <w:lang w:val="en-US"/>
        </w:rPr>
        <w:t>20</w:t>
      </w:r>
      <w:r w:rsidR="00E1304D">
        <w:rPr>
          <w:rFonts w:eastAsia="Times New Roman" w:cs="Arial"/>
          <w:color w:val="002060"/>
          <w:sz w:val="24"/>
          <w:szCs w:val="24"/>
          <w:lang w:val="en-US"/>
        </w:rPr>
        <w:t>.</w:t>
      </w:r>
      <w:r w:rsidR="00C1212E" w:rsidRPr="00C1212E">
        <w:rPr>
          <w:rFonts w:eastAsia="Times New Roman" w:cs="Arial"/>
          <w:color w:val="002060"/>
          <w:sz w:val="24"/>
          <w:szCs w:val="24"/>
          <w:lang w:val="en-US"/>
        </w:rPr>
        <w:tab/>
      </w:r>
      <w:r w:rsidR="00C1212E" w:rsidRPr="00C1212E">
        <w:rPr>
          <w:rFonts w:eastAsia="Times New Roman" w:cs="Arial"/>
          <w:color w:val="002060"/>
          <w:sz w:val="24"/>
          <w:szCs w:val="24"/>
          <w:lang w:val="en-US"/>
        </w:rPr>
        <w:tab/>
      </w:r>
    </w:p>
    <w:p w14:paraId="4583D12A" w14:textId="77777777" w:rsidR="00746245" w:rsidRDefault="0020193E" w:rsidP="00BD7CED">
      <w:pPr>
        <w:spacing w:after="0"/>
        <w:rPr>
          <w:rFonts w:eastAsia="Times New Roman" w:cs="Arial"/>
          <w:color w:val="002060"/>
          <w:sz w:val="24"/>
          <w:szCs w:val="24"/>
          <w:lang w:val="en-US"/>
        </w:rPr>
      </w:pPr>
      <w:r>
        <w:rPr>
          <w:rFonts w:eastAsia="Times New Roman" w:cs="Arial"/>
          <w:noProof/>
          <w:color w:val="002060"/>
          <w:sz w:val="24"/>
          <w:szCs w:val="24"/>
          <w:lang w:eastAsia="en-GB"/>
        </w:rPr>
        <w:drawing>
          <wp:inline distT="0" distB="0" distL="0" distR="0" wp14:anchorId="0BF279A1" wp14:editId="7030CB0F">
            <wp:extent cx="5353050" cy="24574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FC0881" w14:textId="77777777" w:rsidR="00B44F06" w:rsidRPr="00FD5D21" w:rsidRDefault="00275CE1" w:rsidP="0020193E">
      <w:pPr>
        <w:spacing w:after="0"/>
        <w:rPr>
          <w:rFonts w:eastAsia="Times New Roman" w:cs="Arial"/>
          <w:b/>
          <w:color w:val="0070C0"/>
          <w:sz w:val="36"/>
          <w:szCs w:val="36"/>
          <w:lang w:val="en-US"/>
        </w:rPr>
      </w:pPr>
      <w:r>
        <w:rPr>
          <w:rFonts w:eastAsia="Times New Roman" w:cs="Arial"/>
          <w:color w:val="002060"/>
          <w:sz w:val="24"/>
          <w:szCs w:val="24"/>
          <w:lang w:val="en-US"/>
        </w:rPr>
        <w:tab/>
      </w:r>
      <w:r>
        <w:rPr>
          <w:rFonts w:eastAsia="Times New Roman" w:cs="Arial"/>
          <w:color w:val="002060"/>
          <w:sz w:val="24"/>
          <w:szCs w:val="24"/>
          <w:lang w:val="en-US"/>
        </w:rPr>
        <w:tab/>
      </w:r>
      <w:r w:rsidR="006A74B0">
        <w:rPr>
          <w:rFonts w:eastAsia="Times New Roman" w:cs="Arial"/>
          <w:color w:val="002060"/>
          <w:sz w:val="24"/>
          <w:szCs w:val="24"/>
          <w:lang w:val="en-US"/>
        </w:rPr>
        <w:tab/>
      </w:r>
      <w:r w:rsidR="0020193E">
        <w:rPr>
          <w:rFonts w:eastAsia="Times New Roman" w:cs="Arial"/>
          <w:color w:val="002060"/>
          <w:sz w:val="24"/>
          <w:szCs w:val="24"/>
          <w:lang w:val="en-US"/>
        </w:rPr>
        <w:tab/>
      </w:r>
      <w:r w:rsidR="0020193E">
        <w:rPr>
          <w:rFonts w:eastAsia="Times New Roman" w:cs="Arial"/>
          <w:color w:val="002060"/>
          <w:sz w:val="24"/>
          <w:szCs w:val="24"/>
          <w:lang w:val="en-US"/>
        </w:rPr>
        <w:tab/>
      </w:r>
      <w:r w:rsidR="0020193E">
        <w:rPr>
          <w:rFonts w:eastAsia="Times New Roman" w:cs="Arial"/>
          <w:color w:val="002060"/>
          <w:sz w:val="24"/>
          <w:szCs w:val="24"/>
          <w:lang w:val="en-US"/>
        </w:rPr>
        <w:tab/>
      </w:r>
      <w:r w:rsidR="00415819" w:rsidRPr="006A417D">
        <w:rPr>
          <w:rFonts w:eastAsia="Times New Roman" w:cs="Arial"/>
          <w:b/>
          <w:color w:val="002060"/>
          <w:sz w:val="36"/>
          <w:szCs w:val="36"/>
          <w:lang w:val="en-US"/>
        </w:rPr>
        <w:t xml:space="preserve">Gender Pay Gap: </w:t>
      </w:r>
      <w:r w:rsidR="004026A4">
        <w:rPr>
          <w:rFonts w:eastAsia="Times New Roman" w:cs="Arial"/>
          <w:b/>
          <w:color w:val="002060"/>
          <w:sz w:val="36"/>
          <w:szCs w:val="36"/>
          <w:lang w:val="en-US"/>
        </w:rPr>
        <w:t>5</w:t>
      </w:r>
      <w:r w:rsidR="004026A4" w:rsidRPr="004026A4">
        <w:rPr>
          <w:rFonts w:eastAsia="Times New Roman" w:cs="Arial"/>
          <w:b/>
          <w:color w:val="002060"/>
          <w:sz w:val="36"/>
          <w:szCs w:val="36"/>
          <w:vertAlign w:val="superscript"/>
          <w:lang w:val="en-US"/>
        </w:rPr>
        <w:t>th</w:t>
      </w:r>
      <w:r w:rsidR="004026A4">
        <w:rPr>
          <w:rFonts w:eastAsia="Times New Roman" w:cs="Arial"/>
          <w:b/>
          <w:color w:val="002060"/>
          <w:sz w:val="36"/>
          <w:szCs w:val="36"/>
          <w:lang w:val="en-US"/>
        </w:rPr>
        <w:t xml:space="preserve"> April </w:t>
      </w:r>
      <w:r w:rsidR="001C479D">
        <w:rPr>
          <w:rFonts w:eastAsia="Times New Roman" w:cs="Arial"/>
          <w:b/>
          <w:color w:val="002060"/>
          <w:sz w:val="36"/>
          <w:szCs w:val="36"/>
          <w:lang w:val="en-US"/>
        </w:rPr>
        <w:t>2020</w:t>
      </w:r>
      <w:r w:rsidR="00415819" w:rsidRPr="00FD5D21">
        <w:rPr>
          <w:rFonts w:eastAsia="Times New Roman" w:cs="Arial"/>
          <w:b/>
          <w:color w:val="0070C0"/>
          <w:sz w:val="24"/>
          <w:szCs w:val="24"/>
          <w:lang w:val="en-US"/>
        </w:rPr>
        <w:tab/>
      </w:r>
      <w:r w:rsidR="00415819" w:rsidRPr="00FD5D21">
        <w:rPr>
          <w:rFonts w:eastAsia="Times New Roman" w:cs="Arial"/>
          <w:b/>
          <w:color w:val="0070C0"/>
          <w:sz w:val="24"/>
          <w:szCs w:val="24"/>
          <w:lang w:val="en-US"/>
        </w:rPr>
        <w:tab/>
      </w:r>
    </w:p>
    <w:p w14:paraId="1BDF2B4F" w14:textId="77777777" w:rsidR="00B44F06" w:rsidRPr="006A74B0" w:rsidRDefault="006A74B0" w:rsidP="00415819">
      <w:pPr>
        <w:spacing w:after="0"/>
        <w:ind w:firstLine="720"/>
        <w:rPr>
          <w:rStyle w:val="IntenseReference"/>
        </w:rPr>
      </w:pPr>
      <w:r>
        <w:rPr>
          <w:noProof/>
          <w:lang w:eastAsia="en-GB"/>
        </w:rPr>
        <w:drawing>
          <wp:inline distT="0" distB="0" distL="0" distR="0" wp14:anchorId="1AEAF9C9" wp14:editId="437D46E5">
            <wp:extent cx="1276350" cy="1733550"/>
            <wp:effectExtent l="0" t="0" r="0" b="0"/>
            <wp:docPr id="54" name="Picture 2" descr="fema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maleImage"/>
                    <pic:cNvPicPr>
                      <a:picLocks noChangeAspect="1" noChangeArrowheads="1"/>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76350" cy="1733550"/>
                    </a:xfrm>
                    <a:prstGeom prst="rect">
                      <a:avLst/>
                    </a:prstGeom>
                    <a:noFill/>
                    <a:ln>
                      <a:noFill/>
                    </a:ln>
                  </pic:spPr>
                </pic:pic>
              </a:graphicData>
            </a:graphic>
          </wp:inline>
        </w:drawing>
      </w:r>
      <w:r>
        <w:rPr>
          <w:rFonts w:eastAsia="Times New Roman" w:cs="Arial"/>
          <w:color w:val="002060"/>
          <w:sz w:val="24"/>
          <w:szCs w:val="24"/>
          <w:lang w:val="en-US"/>
        </w:rPr>
        <w:t xml:space="preserve"> </w:t>
      </w:r>
      <w:r w:rsidRPr="00415819">
        <w:rPr>
          <w:rFonts w:eastAsia="Times New Roman" w:cs="Arial"/>
          <w:b/>
          <w:sz w:val="28"/>
          <w:szCs w:val="28"/>
          <w:lang w:val="en-US"/>
        </w:rPr>
        <w:tab/>
      </w:r>
      <w:r w:rsidR="00236B49">
        <w:rPr>
          <w:rFonts w:eastAsia="Times New Roman" w:cs="Arial"/>
          <w:b/>
          <w:sz w:val="28"/>
          <w:szCs w:val="28"/>
          <w:lang w:val="en-US"/>
        </w:rPr>
        <w:t>Mean</w:t>
      </w:r>
      <w:r>
        <w:rPr>
          <w:rFonts w:eastAsia="Times New Roman" w:cs="Arial"/>
          <w:color w:val="002060"/>
          <w:sz w:val="24"/>
          <w:szCs w:val="24"/>
          <w:lang w:val="en-US"/>
        </w:rPr>
        <w:tab/>
      </w:r>
      <w:r>
        <w:rPr>
          <w:noProof/>
          <w:lang w:eastAsia="en-GB"/>
        </w:rPr>
        <w:drawing>
          <wp:inline distT="0" distB="0" distL="0" distR="0" wp14:anchorId="3815A5D8" wp14:editId="31882377">
            <wp:extent cx="1352550" cy="1781175"/>
            <wp:effectExtent l="0" t="0" r="0" b="9525"/>
            <wp:docPr id="55" name="Picture 4" descr="ma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leImage"/>
                    <pic:cNvPicPr>
                      <a:picLocks noChangeAspect="1" noChangeArrowheads="1"/>
                    </pic:cNvPicPr>
                  </pic:nvPicPr>
                  <pic:blipFill>
                    <a:blip r:embed="rId1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2550" cy="1781175"/>
                    </a:xfrm>
                    <a:prstGeom prst="rect">
                      <a:avLst/>
                    </a:prstGeom>
                    <a:noFill/>
                    <a:ln>
                      <a:noFill/>
                    </a:ln>
                  </pic:spPr>
                </pic:pic>
              </a:graphicData>
            </a:graphic>
          </wp:inline>
        </w:drawing>
      </w:r>
      <w:r w:rsidR="00415819">
        <w:rPr>
          <w:rFonts w:eastAsia="Times New Roman" w:cs="Arial"/>
          <w:color w:val="002060"/>
          <w:sz w:val="24"/>
          <w:szCs w:val="24"/>
          <w:lang w:val="en-US"/>
        </w:rPr>
        <w:tab/>
      </w:r>
      <w:r w:rsidR="00415819">
        <w:rPr>
          <w:rFonts w:eastAsia="Times New Roman" w:cs="Arial"/>
          <w:color w:val="002060"/>
          <w:sz w:val="24"/>
          <w:szCs w:val="24"/>
          <w:lang w:val="en-US"/>
        </w:rPr>
        <w:tab/>
      </w:r>
      <w:r w:rsidR="00415819">
        <w:rPr>
          <w:rFonts w:eastAsia="Times New Roman" w:cs="Arial"/>
          <w:color w:val="002060"/>
          <w:sz w:val="24"/>
          <w:szCs w:val="24"/>
          <w:lang w:val="en-US"/>
        </w:rPr>
        <w:tab/>
      </w:r>
      <w:r w:rsidR="00415819">
        <w:rPr>
          <w:rFonts w:eastAsia="Times New Roman" w:cs="Arial"/>
          <w:color w:val="002060"/>
          <w:sz w:val="24"/>
          <w:szCs w:val="24"/>
          <w:lang w:val="en-US"/>
        </w:rPr>
        <w:tab/>
      </w:r>
      <w:r w:rsidR="00415819">
        <w:rPr>
          <w:noProof/>
          <w:lang w:eastAsia="en-GB"/>
        </w:rPr>
        <w:drawing>
          <wp:inline distT="0" distB="0" distL="0" distR="0" wp14:anchorId="4EC55775" wp14:editId="03B90B6F">
            <wp:extent cx="1276350" cy="1733550"/>
            <wp:effectExtent l="0" t="0" r="0" b="0"/>
            <wp:docPr id="57" name="Picture 2" descr="fema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maleImage"/>
                    <pic:cNvPicPr>
                      <a:picLocks noChangeAspect="1" noChangeArrowheads="1"/>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76350" cy="1733550"/>
                    </a:xfrm>
                    <a:prstGeom prst="rect">
                      <a:avLst/>
                    </a:prstGeom>
                    <a:noFill/>
                    <a:ln>
                      <a:noFill/>
                    </a:ln>
                  </pic:spPr>
                </pic:pic>
              </a:graphicData>
            </a:graphic>
          </wp:inline>
        </w:drawing>
      </w:r>
      <w:r w:rsidR="00480E60">
        <w:rPr>
          <w:rFonts w:eastAsia="Times New Roman" w:cs="Arial"/>
          <w:color w:val="002060"/>
          <w:sz w:val="24"/>
          <w:szCs w:val="24"/>
          <w:lang w:val="en-US"/>
        </w:rPr>
        <w:tab/>
      </w:r>
      <w:r w:rsidR="00415819" w:rsidRPr="00415819">
        <w:rPr>
          <w:rFonts w:eastAsia="Times New Roman" w:cs="Arial"/>
          <w:b/>
          <w:sz w:val="28"/>
          <w:szCs w:val="28"/>
          <w:lang w:val="en-US"/>
        </w:rPr>
        <w:t xml:space="preserve">Median </w:t>
      </w:r>
      <w:r w:rsidR="00415819">
        <w:rPr>
          <w:noProof/>
          <w:lang w:eastAsia="en-GB"/>
        </w:rPr>
        <w:drawing>
          <wp:inline distT="0" distB="0" distL="0" distR="0" wp14:anchorId="6CF85253" wp14:editId="0D7B326A">
            <wp:extent cx="1352550" cy="1781175"/>
            <wp:effectExtent l="0" t="0" r="0" b="9525"/>
            <wp:docPr id="58" name="Picture 4" descr="ma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leImage"/>
                    <pic:cNvPicPr>
                      <a:picLocks noChangeAspect="1" noChangeArrowheads="1"/>
                    </pic:cNvPicPr>
                  </pic:nvPicPr>
                  <pic:blipFill>
                    <a:blip r:embed="rId1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2550" cy="1781175"/>
                    </a:xfrm>
                    <a:prstGeom prst="rect">
                      <a:avLst/>
                    </a:prstGeom>
                    <a:noFill/>
                    <a:ln>
                      <a:noFill/>
                    </a:ln>
                  </pic:spPr>
                </pic:pic>
              </a:graphicData>
            </a:graphic>
          </wp:inline>
        </w:drawing>
      </w:r>
    </w:p>
    <w:p w14:paraId="5B8D45A5" w14:textId="77777777" w:rsidR="00B44F06" w:rsidRPr="006A74B0" w:rsidRDefault="006A74B0" w:rsidP="00BD7CED">
      <w:pPr>
        <w:spacing w:after="0"/>
        <w:rPr>
          <w:rFonts w:eastAsia="Times New Roman" w:cs="Arial"/>
          <w:color w:val="0070C0"/>
          <w:sz w:val="24"/>
          <w:szCs w:val="24"/>
          <w:lang w:val="en-US"/>
        </w:rPr>
      </w:pPr>
      <w:r>
        <w:rPr>
          <w:rFonts w:eastAsia="Times New Roman" w:cs="Arial"/>
          <w:color w:val="002060"/>
          <w:sz w:val="24"/>
          <w:szCs w:val="24"/>
          <w:lang w:val="en-US"/>
        </w:rPr>
        <w:tab/>
      </w:r>
      <w:r w:rsidR="00415819">
        <w:rPr>
          <w:rFonts w:eastAsia="Times New Roman" w:cs="Arial"/>
          <w:color w:val="002060"/>
          <w:sz w:val="24"/>
          <w:szCs w:val="24"/>
          <w:lang w:val="en-US"/>
        </w:rPr>
        <w:tab/>
      </w:r>
      <w:r w:rsidRPr="006A74B0">
        <w:rPr>
          <w:rFonts w:eastAsia="Times New Roman" w:cs="Arial"/>
          <w:b/>
          <w:color w:val="0070C0"/>
          <w:sz w:val="24"/>
          <w:szCs w:val="24"/>
          <w:lang w:val="en-US"/>
        </w:rPr>
        <w:t>£</w:t>
      </w:r>
      <w:r w:rsidR="001C479D">
        <w:rPr>
          <w:rFonts w:eastAsia="Times New Roman" w:cs="Arial"/>
          <w:b/>
          <w:color w:val="0070C0"/>
          <w:sz w:val="24"/>
          <w:szCs w:val="24"/>
          <w:lang w:val="en-US"/>
        </w:rPr>
        <w:t>13.37</w:t>
      </w:r>
      <w:r>
        <w:rPr>
          <w:rFonts w:eastAsia="Times New Roman" w:cs="Arial"/>
          <w:color w:val="002060"/>
          <w:sz w:val="24"/>
          <w:szCs w:val="24"/>
          <w:lang w:val="en-US"/>
        </w:rPr>
        <w:tab/>
      </w:r>
      <w:r>
        <w:rPr>
          <w:rFonts w:eastAsia="Times New Roman" w:cs="Arial"/>
          <w:color w:val="002060"/>
          <w:sz w:val="24"/>
          <w:szCs w:val="24"/>
          <w:lang w:val="en-US"/>
        </w:rPr>
        <w:tab/>
      </w:r>
      <w:r w:rsidR="001C479D">
        <w:rPr>
          <w:rFonts w:eastAsia="Times New Roman" w:cs="Arial"/>
          <w:b/>
          <w:sz w:val="24"/>
          <w:szCs w:val="24"/>
          <w:lang w:val="en-US"/>
        </w:rPr>
        <w:t>15.64</w:t>
      </w:r>
      <w:r w:rsidR="00480E60">
        <w:rPr>
          <w:rFonts w:eastAsia="Times New Roman" w:cs="Arial"/>
          <w:b/>
          <w:sz w:val="24"/>
          <w:szCs w:val="24"/>
          <w:lang w:val="en-US"/>
        </w:rPr>
        <w:t>%</w:t>
      </w:r>
      <w:r>
        <w:rPr>
          <w:rFonts w:eastAsia="Times New Roman" w:cs="Arial"/>
          <w:color w:val="002060"/>
          <w:sz w:val="24"/>
          <w:szCs w:val="24"/>
          <w:lang w:val="en-US"/>
        </w:rPr>
        <w:tab/>
      </w:r>
      <w:r w:rsidRPr="006A74B0">
        <w:rPr>
          <w:rFonts w:eastAsia="Times New Roman" w:cs="Arial"/>
          <w:b/>
          <w:color w:val="0070C0"/>
          <w:sz w:val="24"/>
          <w:szCs w:val="24"/>
          <w:lang w:val="en-US"/>
        </w:rPr>
        <w:t>£</w:t>
      </w:r>
      <w:r w:rsidR="00833967">
        <w:rPr>
          <w:rFonts w:eastAsia="Times New Roman" w:cs="Arial"/>
          <w:b/>
          <w:color w:val="0070C0"/>
          <w:sz w:val="24"/>
          <w:szCs w:val="24"/>
          <w:lang w:val="en-US"/>
        </w:rPr>
        <w:t>1</w:t>
      </w:r>
      <w:r w:rsidR="00A97D9C">
        <w:rPr>
          <w:rFonts w:eastAsia="Times New Roman" w:cs="Arial"/>
          <w:b/>
          <w:color w:val="0070C0"/>
          <w:sz w:val="24"/>
          <w:szCs w:val="24"/>
          <w:lang w:val="en-US"/>
        </w:rPr>
        <w:t>1.</w:t>
      </w:r>
      <w:r w:rsidR="001C479D">
        <w:rPr>
          <w:rFonts w:eastAsia="Times New Roman" w:cs="Arial"/>
          <w:b/>
          <w:color w:val="0070C0"/>
          <w:sz w:val="24"/>
          <w:szCs w:val="24"/>
          <w:lang w:val="en-US"/>
        </w:rPr>
        <w:t>28</w:t>
      </w:r>
      <w:r w:rsidR="00415819">
        <w:rPr>
          <w:rFonts w:eastAsia="Times New Roman" w:cs="Arial"/>
          <w:b/>
          <w:color w:val="0070C0"/>
          <w:sz w:val="24"/>
          <w:szCs w:val="24"/>
          <w:lang w:val="en-US"/>
        </w:rPr>
        <w:tab/>
      </w:r>
      <w:r w:rsidR="00415819">
        <w:rPr>
          <w:rFonts w:eastAsia="Times New Roman" w:cs="Arial"/>
          <w:b/>
          <w:color w:val="0070C0"/>
          <w:sz w:val="24"/>
          <w:szCs w:val="24"/>
          <w:lang w:val="en-US"/>
        </w:rPr>
        <w:tab/>
      </w:r>
      <w:r w:rsidR="00415819">
        <w:rPr>
          <w:rFonts w:eastAsia="Times New Roman" w:cs="Arial"/>
          <w:b/>
          <w:color w:val="0070C0"/>
          <w:sz w:val="24"/>
          <w:szCs w:val="24"/>
          <w:lang w:val="en-US"/>
        </w:rPr>
        <w:tab/>
      </w:r>
      <w:r w:rsidR="00415819">
        <w:rPr>
          <w:rFonts w:eastAsia="Times New Roman" w:cs="Arial"/>
          <w:b/>
          <w:color w:val="0070C0"/>
          <w:sz w:val="24"/>
          <w:szCs w:val="24"/>
          <w:lang w:val="en-US"/>
        </w:rPr>
        <w:tab/>
      </w:r>
      <w:r w:rsidR="00480E60">
        <w:rPr>
          <w:rFonts w:eastAsia="Times New Roman" w:cs="Arial"/>
          <w:b/>
          <w:color w:val="0070C0"/>
          <w:sz w:val="24"/>
          <w:szCs w:val="24"/>
          <w:lang w:val="en-US"/>
        </w:rPr>
        <w:tab/>
      </w:r>
      <w:r w:rsidR="00833967">
        <w:rPr>
          <w:rFonts w:eastAsia="Times New Roman" w:cs="Arial"/>
          <w:b/>
          <w:color w:val="0070C0"/>
          <w:sz w:val="24"/>
          <w:szCs w:val="24"/>
          <w:lang w:val="en-US"/>
        </w:rPr>
        <w:tab/>
      </w:r>
      <w:r w:rsidR="00C670DF">
        <w:rPr>
          <w:rFonts w:eastAsia="Times New Roman" w:cs="Arial"/>
          <w:b/>
          <w:color w:val="0070C0"/>
          <w:sz w:val="24"/>
          <w:szCs w:val="24"/>
          <w:lang w:val="en-US"/>
        </w:rPr>
        <w:t>£</w:t>
      </w:r>
      <w:r w:rsidR="001C479D">
        <w:rPr>
          <w:rFonts w:eastAsia="Times New Roman" w:cs="Arial"/>
          <w:b/>
          <w:color w:val="0070C0"/>
          <w:sz w:val="24"/>
          <w:szCs w:val="24"/>
          <w:lang w:val="en-US"/>
        </w:rPr>
        <w:t>10.71</w:t>
      </w:r>
      <w:r w:rsidR="00833967">
        <w:rPr>
          <w:rFonts w:eastAsia="Times New Roman" w:cs="Arial"/>
          <w:b/>
          <w:color w:val="0070C0"/>
          <w:sz w:val="24"/>
          <w:szCs w:val="24"/>
          <w:lang w:val="en-US"/>
        </w:rPr>
        <w:tab/>
      </w:r>
      <w:r w:rsidR="00480E60">
        <w:rPr>
          <w:rFonts w:eastAsia="Times New Roman" w:cs="Arial"/>
          <w:b/>
          <w:color w:val="0070C0"/>
          <w:sz w:val="24"/>
          <w:szCs w:val="24"/>
          <w:lang w:val="en-US"/>
        </w:rPr>
        <w:tab/>
      </w:r>
      <w:r w:rsidR="001C479D">
        <w:rPr>
          <w:rFonts w:eastAsia="Times New Roman" w:cs="Arial"/>
          <w:b/>
          <w:sz w:val="24"/>
          <w:szCs w:val="24"/>
          <w:lang w:val="en-US"/>
        </w:rPr>
        <w:t>5.66</w:t>
      </w:r>
      <w:r w:rsidR="00480E60" w:rsidRPr="00480E60">
        <w:rPr>
          <w:rFonts w:eastAsia="Times New Roman" w:cs="Arial"/>
          <w:b/>
          <w:sz w:val="24"/>
          <w:szCs w:val="24"/>
          <w:lang w:val="en-US"/>
        </w:rPr>
        <w:t>%</w:t>
      </w:r>
      <w:r w:rsidR="00415819">
        <w:rPr>
          <w:rFonts w:eastAsia="Times New Roman" w:cs="Arial"/>
          <w:b/>
          <w:color w:val="0070C0"/>
          <w:sz w:val="24"/>
          <w:szCs w:val="24"/>
          <w:lang w:val="en-US"/>
        </w:rPr>
        <w:tab/>
      </w:r>
      <w:r w:rsidR="00480E60">
        <w:rPr>
          <w:rFonts w:eastAsia="Times New Roman" w:cs="Arial"/>
          <w:b/>
          <w:color w:val="0070C0"/>
          <w:sz w:val="24"/>
          <w:szCs w:val="24"/>
          <w:lang w:val="en-US"/>
        </w:rPr>
        <w:t xml:space="preserve">    </w:t>
      </w:r>
      <w:r w:rsidR="00A97D9C">
        <w:rPr>
          <w:rFonts w:eastAsia="Times New Roman" w:cs="Arial"/>
          <w:b/>
          <w:color w:val="0070C0"/>
          <w:sz w:val="24"/>
          <w:szCs w:val="24"/>
          <w:lang w:val="en-US"/>
        </w:rPr>
        <w:tab/>
      </w:r>
      <w:r w:rsidR="00C670DF">
        <w:rPr>
          <w:rFonts w:eastAsia="Times New Roman" w:cs="Arial"/>
          <w:b/>
          <w:color w:val="0070C0"/>
          <w:sz w:val="24"/>
          <w:szCs w:val="24"/>
          <w:lang w:val="en-US"/>
        </w:rPr>
        <w:t>£</w:t>
      </w:r>
      <w:r w:rsidR="00833967">
        <w:rPr>
          <w:rFonts w:eastAsia="Times New Roman" w:cs="Arial"/>
          <w:b/>
          <w:color w:val="0070C0"/>
          <w:sz w:val="24"/>
          <w:szCs w:val="24"/>
          <w:lang w:val="en-US"/>
        </w:rPr>
        <w:t>1</w:t>
      </w:r>
      <w:r w:rsidR="001C479D">
        <w:rPr>
          <w:rFonts w:eastAsia="Times New Roman" w:cs="Arial"/>
          <w:b/>
          <w:color w:val="0070C0"/>
          <w:sz w:val="24"/>
          <w:szCs w:val="24"/>
          <w:lang w:val="en-US"/>
        </w:rPr>
        <w:t>0.10</w:t>
      </w:r>
    </w:p>
    <w:p w14:paraId="55B5C3E0" w14:textId="77777777" w:rsidR="004650D6" w:rsidRPr="006A417D" w:rsidRDefault="00236B49" w:rsidP="00236B49">
      <w:pPr>
        <w:spacing w:after="0"/>
        <w:ind w:left="3600" w:firstLine="720"/>
        <w:rPr>
          <w:rFonts w:eastAsia="Times New Roman" w:cs="Arial"/>
          <w:b/>
          <w:color w:val="002060"/>
          <w:sz w:val="36"/>
          <w:szCs w:val="36"/>
          <w:lang w:val="en-US"/>
        </w:rPr>
      </w:pPr>
      <w:r w:rsidRPr="006A417D">
        <w:rPr>
          <w:rFonts w:eastAsia="Times New Roman" w:cs="Arial"/>
          <w:b/>
          <w:color w:val="002060"/>
          <w:sz w:val="36"/>
          <w:szCs w:val="36"/>
          <w:lang w:val="en-US"/>
        </w:rPr>
        <w:lastRenderedPageBreak/>
        <w:t xml:space="preserve">Bonus Gap: </w:t>
      </w:r>
      <w:r w:rsidR="00274025">
        <w:rPr>
          <w:rFonts w:eastAsia="Times New Roman" w:cs="Arial"/>
          <w:b/>
          <w:color w:val="002060"/>
          <w:sz w:val="36"/>
          <w:szCs w:val="36"/>
          <w:lang w:val="en-US"/>
        </w:rPr>
        <w:t xml:space="preserve">year up to </w:t>
      </w:r>
      <w:r w:rsidR="004026A4">
        <w:rPr>
          <w:rFonts w:eastAsia="Times New Roman" w:cs="Arial"/>
          <w:b/>
          <w:color w:val="002060"/>
          <w:sz w:val="36"/>
          <w:szCs w:val="36"/>
          <w:lang w:val="en-US"/>
        </w:rPr>
        <w:t>5</w:t>
      </w:r>
      <w:r w:rsidR="004026A4" w:rsidRPr="004026A4">
        <w:rPr>
          <w:rFonts w:eastAsia="Times New Roman" w:cs="Arial"/>
          <w:b/>
          <w:color w:val="002060"/>
          <w:sz w:val="36"/>
          <w:szCs w:val="36"/>
          <w:vertAlign w:val="superscript"/>
          <w:lang w:val="en-US"/>
        </w:rPr>
        <w:t>th</w:t>
      </w:r>
      <w:r w:rsidR="004026A4">
        <w:rPr>
          <w:rFonts w:eastAsia="Times New Roman" w:cs="Arial"/>
          <w:b/>
          <w:color w:val="002060"/>
          <w:sz w:val="36"/>
          <w:szCs w:val="36"/>
          <w:lang w:val="en-US"/>
        </w:rPr>
        <w:t xml:space="preserve"> April </w:t>
      </w:r>
      <w:r w:rsidR="001C479D">
        <w:rPr>
          <w:rFonts w:eastAsia="Times New Roman" w:cs="Arial"/>
          <w:b/>
          <w:color w:val="002060"/>
          <w:sz w:val="36"/>
          <w:szCs w:val="36"/>
          <w:lang w:val="en-US"/>
        </w:rPr>
        <w:t>2020</w:t>
      </w:r>
    </w:p>
    <w:p w14:paraId="392848A9" w14:textId="77777777" w:rsidR="00236B49" w:rsidRDefault="00236B49" w:rsidP="00BD7CED">
      <w:pPr>
        <w:spacing w:after="0"/>
        <w:rPr>
          <w:rFonts w:eastAsia="Times New Roman" w:cs="Arial"/>
          <w:b/>
          <w:color w:val="002060"/>
          <w:sz w:val="26"/>
          <w:szCs w:val="26"/>
          <w:lang w:val="en-US"/>
        </w:rPr>
      </w:pPr>
    </w:p>
    <w:p w14:paraId="59783E87" w14:textId="77777777" w:rsidR="00236B49" w:rsidRDefault="00236B49" w:rsidP="00236B49">
      <w:pPr>
        <w:spacing w:after="0"/>
        <w:ind w:firstLine="720"/>
        <w:rPr>
          <w:rFonts w:eastAsia="Times New Roman" w:cs="Arial"/>
          <w:b/>
          <w:color w:val="002060"/>
          <w:sz w:val="26"/>
          <w:szCs w:val="26"/>
          <w:lang w:val="en-US"/>
        </w:rPr>
      </w:pPr>
      <w:r>
        <w:rPr>
          <w:noProof/>
          <w:lang w:eastAsia="en-GB"/>
        </w:rPr>
        <w:drawing>
          <wp:inline distT="0" distB="0" distL="0" distR="0" wp14:anchorId="4A49D483" wp14:editId="0D6A94C9">
            <wp:extent cx="1276350" cy="1733550"/>
            <wp:effectExtent l="0" t="0" r="0" b="0"/>
            <wp:docPr id="61" name="Picture 2" descr="fema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maleImage"/>
                    <pic:cNvPicPr>
                      <a:picLocks noChangeAspect="1" noChangeArrowheads="1"/>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76350" cy="1733550"/>
                    </a:xfrm>
                    <a:prstGeom prst="rect">
                      <a:avLst/>
                    </a:prstGeom>
                    <a:noFill/>
                    <a:ln>
                      <a:noFill/>
                    </a:ln>
                  </pic:spPr>
                </pic:pic>
              </a:graphicData>
            </a:graphic>
          </wp:inline>
        </w:drawing>
      </w:r>
      <w:r>
        <w:rPr>
          <w:rFonts w:eastAsia="Times New Roman" w:cs="Arial"/>
          <w:b/>
          <w:color w:val="002060"/>
          <w:sz w:val="26"/>
          <w:szCs w:val="26"/>
          <w:lang w:val="en-US"/>
        </w:rPr>
        <w:tab/>
      </w:r>
      <w:r w:rsidR="00FD5D21" w:rsidRPr="00FD5D21">
        <w:rPr>
          <w:rFonts w:eastAsia="Times New Roman" w:cs="Arial"/>
          <w:b/>
          <w:sz w:val="26"/>
          <w:szCs w:val="26"/>
          <w:lang w:val="en-US"/>
        </w:rPr>
        <w:t>Mean</w:t>
      </w:r>
      <w:r w:rsidRPr="00FD5D21">
        <w:rPr>
          <w:rFonts w:eastAsia="Times New Roman" w:cs="Arial"/>
          <w:b/>
          <w:color w:val="0070C0"/>
          <w:sz w:val="26"/>
          <w:szCs w:val="26"/>
          <w:lang w:val="en-US"/>
        </w:rPr>
        <w:tab/>
      </w:r>
      <w:r>
        <w:rPr>
          <w:noProof/>
          <w:lang w:eastAsia="en-GB"/>
        </w:rPr>
        <w:drawing>
          <wp:inline distT="0" distB="0" distL="0" distR="0" wp14:anchorId="4CDAABC6" wp14:editId="7BFCB314">
            <wp:extent cx="1352550" cy="1781175"/>
            <wp:effectExtent l="0" t="0" r="0" b="9525"/>
            <wp:docPr id="63" name="Picture 4" descr="ma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leImage"/>
                    <pic:cNvPicPr>
                      <a:picLocks noChangeAspect="1" noChangeArrowheads="1"/>
                    </pic:cNvPicPr>
                  </pic:nvPicPr>
                  <pic:blipFill>
                    <a:blip r:embed="rId1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2550" cy="1781175"/>
                    </a:xfrm>
                    <a:prstGeom prst="rect">
                      <a:avLst/>
                    </a:prstGeom>
                    <a:noFill/>
                    <a:ln>
                      <a:noFill/>
                    </a:ln>
                  </pic:spPr>
                </pic:pic>
              </a:graphicData>
            </a:graphic>
          </wp:inline>
        </w:drawing>
      </w:r>
      <w:r>
        <w:rPr>
          <w:rFonts w:eastAsia="Times New Roman" w:cs="Arial"/>
          <w:b/>
          <w:color w:val="002060"/>
          <w:sz w:val="26"/>
          <w:szCs w:val="26"/>
          <w:lang w:val="en-US"/>
        </w:rPr>
        <w:tab/>
      </w:r>
      <w:r>
        <w:rPr>
          <w:rFonts w:eastAsia="Times New Roman" w:cs="Arial"/>
          <w:b/>
          <w:color w:val="002060"/>
          <w:sz w:val="26"/>
          <w:szCs w:val="26"/>
          <w:lang w:val="en-US"/>
        </w:rPr>
        <w:tab/>
      </w:r>
      <w:r>
        <w:rPr>
          <w:rFonts w:eastAsia="Times New Roman" w:cs="Arial"/>
          <w:b/>
          <w:color w:val="002060"/>
          <w:sz w:val="26"/>
          <w:szCs w:val="26"/>
          <w:lang w:val="en-US"/>
        </w:rPr>
        <w:tab/>
      </w:r>
      <w:r>
        <w:rPr>
          <w:rFonts w:eastAsia="Times New Roman" w:cs="Arial"/>
          <w:b/>
          <w:color w:val="002060"/>
          <w:sz w:val="26"/>
          <w:szCs w:val="26"/>
          <w:lang w:val="en-US"/>
        </w:rPr>
        <w:tab/>
      </w:r>
      <w:r>
        <w:rPr>
          <w:noProof/>
          <w:lang w:eastAsia="en-GB"/>
        </w:rPr>
        <w:drawing>
          <wp:inline distT="0" distB="0" distL="0" distR="0" wp14:anchorId="286EF28A" wp14:editId="435B5DBE">
            <wp:extent cx="1276350" cy="1733550"/>
            <wp:effectExtent l="0" t="0" r="0" b="0"/>
            <wp:docPr id="672" name="Picture 2" descr="fema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maleImage"/>
                    <pic:cNvPicPr>
                      <a:picLocks noChangeAspect="1" noChangeArrowheads="1"/>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76350" cy="1733550"/>
                    </a:xfrm>
                    <a:prstGeom prst="rect">
                      <a:avLst/>
                    </a:prstGeom>
                    <a:noFill/>
                    <a:ln>
                      <a:noFill/>
                    </a:ln>
                  </pic:spPr>
                </pic:pic>
              </a:graphicData>
            </a:graphic>
          </wp:inline>
        </w:drawing>
      </w:r>
      <w:r w:rsidR="00FD5D21" w:rsidRPr="00FD5D21">
        <w:rPr>
          <w:rFonts w:eastAsia="Times New Roman" w:cs="Arial"/>
          <w:b/>
          <w:sz w:val="26"/>
          <w:szCs w:val="26"/>
          <w:lang w:val="en-US"/>
        </w:rPr>
        <w:t>Median</w:t>
      </w:r>
      <w:r w:rsidRPr="00FD5D21">
        <w:rPr>
          <w:rFonts w:eastAsia="Times New Roman" w:cs="Arial"/>
          <w:b/>
          <w:sz w:val="26"/>
          <w:szCs w:val="26"/>
          <w:lang w:val="en-US"/>
        </w:rPr>
        <w:tab/>
      </w:r>
      <w:r>
        <w:rPr>
          <w:noProof/>
          <w:lang w:eastAsia="en-GB"/>
        </w:rPr>
        <w:drawing>
          <wp:inline distT="0" distB="0" distL="0" distR="0" wp14:anchorId="2328120D" wp14:editId="53492FE6">
            <wp:extent cx="1352550" cy="1781175"/>
            <wp:effectExtent l="0" t="0" r="0" b="9525"/>
            <wp:docPr id="673" name="Picture 4" descr="ma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leImage"/>
                    <pic:cNvPicPr>
                      <a:picLocks noChangeAspect="1" noChangeArrowheads="1"/>
                    </pic:cNvPicPr>
                  </pic:nvPicPr>
                  <pic:blipFill>
                    <a:blip r:embed="rId1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2550" cy="1781175"/>
                    </a:xfrm>
                    <a:prstGeom prst="rect">
                      <a:avLst/>
                    </a:prstGeom>
                    <a:noFill/>
                    <a:ln>
                      <a:noFill/>
                    </a:ln>
                  </pic:spPr>
                </pic:pic>
              </a:graphicData>
            </a:graphic>
          </wp:inline>
        </w:drawing>
      </w:r>
    </w:p>
    <w:p w14:paraId="7503B7A7" w14:textId="77777777" w:rsidR="00FD5D21" w:rsidRDefault="00FD5D21" w:rsidP="00FD5D21">
      <w:pPr>
        <w:spacing w:after="0"/>
        <w:rPr>
          <w:rFonts w:eastAsia="Times New Roman" w:cs="Arial"/>
          <w:b/>
          <w:color w:val="002060"/>
          <w:sz w:val="26"/>
          <w:szCs w:val="26"/>
          <w:lang w:val="en-US"/>
        </w:rPr>
      </w:pPr>
      <w:r>
        <w:rPr>
          <w:rFonts w:eastAsia="Times New Roman" w:cs="Arial"/>
          <w:b/>
          <w:color w:val="002060"/>
          <w:sz w:val="26"/>
          <w:szCs w:val="26"/>
          <w:lang w:val="en-US"/>
        </w:rPr>
        <w:tab/>
      </w:r>
      <w:r>
        <w:rPr>
          <w:rFonts w:eastAsia="Times New Roman" w:cs="Arial"/>
          <w:b/>
          <w:color w:val="002060"/>
          <w:sz w:val="26"/>
          <w:szCs w:val="26"/>
          <w:lang w:val="en-US"/>
        </w:rPr>
        <w:tab/>
      </w:r>
      <w:r w:rsidRPr="00FD5D21">
        <w:rPr>
          <w:rFonts w:eastAsia="Times New Roman" w:cs="Arial"/>
          <w:b/>
          <w:color w:val="0070C0"/>
          <w:sz w:val="26"/>
          <w:szCs w:val="26"/>
          <w:lang w:val="en-US"/>
        </w:rPr>
        <w:t>£</w:t>
      </w:r>
      <w:r w:rsidR="00AD768F">
        <w:rPr>
          <w:rFonts w:eastAsia="Times New Roman" w:cs="Arial"/>
          <w:b/>
          <w:color w:val="0070C0"/>
          <w:sz w:val="26"/>
          <w:szCs w:val="26"/>
          <w:lang w:val="en-US"/>
        </w:rPr>
        <w:t>723</w:t>
      </w:r>
      <w:r>
        <w:rPr>
          <w:rFonts w:eastAsia="Times New Roman" w:cs="Arial"/>
          <w:b/>
          <w:color w:val="002060"/>
          <w:sz w:val="26"/>
          <w:szCs w:val="26"/>
          <w:lang w:val="en-US"/>
        </w:rPr>
        <w:tab/>
      </w:r>
      <w:r>
        <w:rPr>
          <w:rFonts w:eastAsia="Times New Roman" w:cs="Arial"/>
          <w:b/>
          <w:color w:val="002060"/>
          <w:sz w:val="26"/>
          <w:szCs w:val="26"/>
          <w:lang w:val="en-US"/>
        </w:rPr>
        <w:tab/>
      </w:r>
      <w:r w:rsidR="00AD768F">
        <w:rPr>
          <w:rFonts w:eastAsia="Times New Roman" w:cs="Arial"/>
          <w:b/>
          <w:sz w:val="24"/>
          <w:szCs w:val="24"/>
          <w:lang w:val="en-US"/>
        </w:rPr>
        <w:t>26.92</w:t>
      </w:r>
      <w:r w:rsidRPr="006F3CEE">
        <w:rPr>
          <w:rFonts w:eastAsia="Times New Roman" w:cs="Arial"/>
          <w:b/>
          <w:sz w:val="24"/>
          <w:szCs w:val="24"/>
          <w:lang w:val="en-US"/>
        </w:rPr>
        <w:t>%</w:t>
      </w:r>
      <w:r>
        <w:rPr>
          <w:rFonts w:eastAsia="Times New Roman" w:cs="Arial"/>
          <w:b/>
          <w:color w:val="002060"/>
          <w:sz w:val="26"/>
          <w:szCs w:val="26"/>
          <w:lang w:val="en-US"/>
        </w:rPr>
        <w:tab/>
      </w:r>
      <w:r w:rsidRPr="00FD5D21">
        <w:rPr>
          <w:rFonts w:eastAsia="Times New Roman" w:cs="Arial"/>
          <w:b/>
          <w:color w:val="0070C0"/>
          <w:sz w:val="26"/>
          <w:szCs w:val="26"/>
          <w:lang w:val="en-US"/>
        </w:rPr>
        <w:t>£</w:t>
      </w:r>
      <w:r w:rsidR="00AD768F">
        <w:rPr>
          <w:rFonts w:eastAsia="Times New Roman" w:cs="Arial"/>
          <w:b/>
          <w:color w:val="0070C0"/>
          <w:sz w:val="26"/>
          <w:szCs w:val="26"/>
          <w:lang w:val="en-US"/>
        </w:rPr>
        <w:t>528</w:t>
      </w:r>
      <w:r>
        <w:rPr>
          <w:rFonts w:eastAsia="Times New Roman" w:cs="Arial"/>
          <w:b/>
          <w:color w:val="002060"/>
          <w:sz w:val="26"/>
          <w:szCs w:val="26"/>
          <w:lang w:val="en-US"/>
        </w:rPr>
        <w:tab/>
      </w:r>
      <w:r>
        <w:rPr>
          <w:rFonts w:eastAsia="Times New Roman" w:cs="Arial"/>
          <w:b/>
          <w:color w:val="002060"/>
          <w:sz w:val="26"/>
          <w:szCs w:val="26"/>
          <w:lang w:val="en-US"/>
        </w:rPr>
        <w:tab/>
      </w:r>
      <w:r>
        <w:rPr>
          <w:rFonts w:eastAsia="Times New Roman" w:cs="Arial"/>
          <w:b/>
          <w:color w:val="002060"/>
          <w:sz w:val="26"/>
          <w:szCs w:val="26"/>
          <w:lang w:val="en-US"/>
        </w:rPr>
        <w:tab/>
      </w:r>
      <w:r>
        <w:rPr>
          <w:rFonts w:eastAsia="Times New Roman" w:cs="Arial"/>
          <w:b/>
          <w:color w:val="002060"/>
          <w:sz w:val="26"/>
          <w:szCs w:val="26"/>
          <w:lang w:val="en-US"/>
        </w:rPr>
        <w:tab/>
      </w:r>
      <w:r w:rsidR="004214A6">
        <w:rPr>
          <w:rFonts w:eastAsia="Times New Roman" w:cs="Arial"/>
          <w:b/>
          <w:color w:val="002060"/>
          <w:sz w:val="26"/>
          <w:szCs w:val="26"/>
          <w:lang w:val="en-US"/>
        </w:rPr>
        <w:tab/>
      </w:r>
      <w:r w:rsidRPr="00FD5D21">
        <w:rPr>
          <w:rFonts w:eastAsia="Times New Roman" w:cs="Arial"/>
          <w:b/>
          <w:color w:val="0070C0"/>
          <w:sz w:val="26"/>
          <w:szCs w:val="26"/>
          <w:lang w:val="en-US"/>
        </w:rPr>
        <w:t>£</w:t>
      </w:r>
      <w:r w:rsidR="00833967">
        <w:rPr>
          <w:rFonts w:eastAsia="Times New Roman" w:cs="Arial"/>
          <w:b/>
          <w:color w:val="0070C0"/>
          <w:sz w:val="26"/>
          <w:szCs w:val="26"/>
          <w:lang w:val="en-US"/>
        </w:rPr>
        <w:t>9</w:t>
      </w:r>
      <w:r w:rsidR="00AD768F">
        <w:rPr>
          <w:rFonts w:eastAsia="Times New Roman" w:cs="Arial"/>
          <w:b/>
          <w:color w:val="0070C0"/>
          <w:sz w:val="26"/>
          <w:szCs w:val="26"/>
          <w:lang w:val="en-US"/>
        </w:rPr>
        <w:t>23</w:t>
      </w:r>
      <w:r>
        <w:rPr>
          <w:rFonts w:eastAsia="Times New Roman" w:cs="Arial"/>
          <w:b/>
          <w:color w:val="002060"/>
          <w:sz w:val="26"/>
          <w:szCs w:val="26"/>
          <w:lang w:val="en-US"/>
        </w:rPr>
        <w:tab/>
      </w:r>
      <w:r>
        <w:rPr>
          <w:rFonts w:eastAsia="Times New Roman" w:cs="Arial"/>
          <w:b/>
          <w:color w:val="002060"/>
          <w:sz w:val="26"/>
          <w:szCs w:val="26"/>
          <w:lang w:val="en-US"/>
        </w:rPr>
        <w:tab/>
      </w:r>
      <w:r w:rsidR="00AD768F">
        <w:rPr>
          <w:rFonts w:eastAsia="Times New Roman" w:cs="Arial"/>
          <w:b/>
          <w:sz w:val="24"/>
          <w:szCs w:val="24"/>
          <w:lang w:val="en-US"/>
        </w:rPr>
        <w:t>48.72</w:t>
      </w:r>
      <w:r w:rsidR="00452E65">
        <w:rPr>
          <w:rFonts w:eastAsia="Times New Roman" w:cs="Arial"/>
          <w:b/>
          <w:sz w:val="24"/>
          <w:szCs w:val="24"/>
          <w:lang w:val="en-US"/>
        </w:rPr>
        <w:t>%</w:t>
      </w:r>
      <w:r>
        <w:rPr>
          <w:rFonts w:eastAsia="Times New Roman" w:cs="Arial"/>
          <w:b/>
          <w:color w:val="002060"/>
          <w:sz w:val="26"/>
          <w:szCs w:val="26"/>
          <w:lang w:val="en-US"/>
        </w:rPr>
        <w:tab/>
      </w:r>
      <w:r w:rsidR="00833967">
        <w:rPr>
          <w:rFonts w:eastAsia="Times New Roman" w:cs="Arial"/>
          <w:b/>
          <w:color w:val="002060"/>
          <w:sz w:val="26"/>
          <w:szCs w:val="26"/>
          <w:lang w:val="en-US"/>
        </w:rPr>
        <w:tab/>
      </w:r>
      <w:r w:rsidRPr="00FD5D21">
        <w:rPr>
          <w:rFonts w:eastAsia="Times New Roman" w:cs="Arial"/>
          <w:b/>
          <w:color w:val="0070C0"/>
          <w:sz w:val="26"/>
          <w:szCs w:val="26"/>
          <w:lang w:val="en-US"/>
        </w:rPr>
        <w:t>£</w:t>
      </w:r>
      <w:r w:rsidR="00833967">
        <w:rPr>
          <w:rFonts w:eastAsia="Times New Roman" w:cs="Arial"/>
          <w:b/>
          <w:color w:val="0070C0"/>
          <w:sz w:val="26"/>
          <w:szCs w:val="26"/>
          <w:lang w:val="en-US"/>
        </w:rPr>
        <w:t>4</w:t>
      </w:r>
      <w:r w:rsidR="00AD768F">
        <w:rPr>
          <w:rFonts w:eastAsia="Times New Roman" w:cs="Arial"/>
          <w:b/>
          <w:color w:val="0070C0"/>
          <w:sz w:val="26"/>
          <w:szCs w:val="26"/>
          <w:lang w:val="en-US"/>
        </w:rPr>
        <w:t>73</w:t>
      </w:r>
      <w:r>
        <w:rPr>
          <w:rFonts w:eastAsia="Times New Roman" w:cs="Arial"/>
          <w:b/>
          <w:color w:val="002060"/>
          <w:sz w:val="26"/>
          <w:szCs w:val="26"/>
          <w:lang w:val="en-US"/>
        </w:rPr>
        <w:tab/>
      </w:r>
      <w:r>
        <w:rPr>
          <w:rFonts w:eastAsia="Times New Roman" w:cs="Arial"/>
          <w:b/>
          <w:color w:val="002060"/>
          <w:sz w:val="26"/>
          <w:szCs w:val="26"/>
          <w:lang w:val="en-US"/>
        </w:rPr>
        <w:tab/>
      </w:r>
      <w:r>
        <w:rPr>
          <w:rFonts w:eastAsia="Times New Roman" w:cs="Arial"/>
          <w:b/>
          <w:color w:val="002060"/>
          <w:sz w:val="26"/>
          <w:szCs w:val="26"/>
          <w:lang w:val="en-US"/>
        </w:rPr>
        <w:tab/>
      </w:r>
    </w:p>
    <w:p w14:paraId="2AA9701D" w14:textId="77777777" w:rsidR="00BB6709" w:rsidRDefault="00FD5D21" w:rsidP="00FD5D21">
      <w:pPr>
        <w:spacing w:after="0"/>
      </w:pPr>
      <w:r>
        <w:rPr>
          <w:rFonts w:eastAsia="Times New Roman" w:cs="Arial"/>
          <w:b/>
          <w:color w:val="002060"/>
          <w:sz w:val="26"/>
          <w:szCs w:val="26"/>
          <w:lang w:val="en-US"/>
        </w:rPr>
        <w:tab/>
      </w:r>
    </w:p>
    <w:p w14:paraId="413ED87C" w14:textId="77777777" w:rsidR="00BB6709" w:rsidRDefault="00BB6709" w:rsidP="00BB6709">
      <w:pPr>
        <w:rPr>
          <w:sz w:val="24"/>
          <w:szCs w:val="24"/>
        </w:rPr>
      </w:pPr>
      <w:r w:rsidRPr="00DC59C7">
        <w:rPr>
          <w:sz w:val="24"/>
          <w:szCs w:val="24"/>
        </w:rPr>
        <w:t xml:space="preserve">The above table shows </w:t>
      </w:r>
      <w:r w:rsidR="00D67C79">
        <w:rPr>
          <w:sz w:val="24"/>
          <w:szCs w:val="24"/>
        </w:rPr>
        <w:t>QEF</w:t>
      </w:r>
      <w:r w:rsidRPr="00DC59C7">
        <w:rPr>
          <w:sz w:val="24"/>
          <w:szCs w:val="24"/>
        </w:rPr>
        <w:t xml:space="preserve">’s mean and median gender pay gap based on hourly rates of pay as at the snapshot date </w:t>
      </w:r>
      <w:r w:rsidR="004026A4">
        <w:rPr>
          <w:sz w:val="24"/>
          <w:szCs w:val="24"/>
        </w:rPr>
        <w:t>5</w:t>
      </w:r>
      <w:r w:rsidR="004026A4" w:rsidRPr="004026A4">
        <w:rPr>
          <w:sz w:val="24"/>
          <w:szCs w:val="24"/>
          <w:vertAlign w:val="superscript"/>
        </w:rPr>
        <w:t>th</w:t>
      </w:r>
      <w:r w:rsidR="004026A4">
        <w:rPr>
          <w:sz w:val="24"/>
          <w:szCs w:val="24"/>
        </w:rPr>
        <w:t xml:space="preserve"> April </w:t>
      </w:r>
      <w:r w:rsidR="00833967">
        <w:rPr>
          <w:sz w:val="24"/>
          <w:szCs w:val="24"/>
        </w:rPr>
        <w:t>20</w:t>
      </w:r>
      <w:r w:rsidR="00AD768F">
        <w:rPr>
          <w:sz w:val="24"/>
          <w:szCs w:val="24"/>
        </w:rPr>
        <w:t>20</w:t>
      </w:r>
      <w:r w:rsidRPr="00DC59C7">
        <w:rPr>
          <w:sz w:val="24"/>
          <w:szCs w:val="24"/>
        </w:rPr>
        <w:t xml:space="preserve">. It also captures the mean and median difference between bonuses paid to men and women at </w:t>
      </w:r>
      <w:r w:rsidR="004214A6">
        <w:rPr>
          <w:sz w:val="24"/>
          <w:szCs w:val="24"/>
        </w:rPr>
        <w:t>QEF</w:t>
      </w:r>
      <w:r w:rsidR="00D02787" w:rsidRPr="00DC59C7">
        <w:rPr>
          <w:sz w:val="24"/>
          <w:szCs w:val="24"/>
        </w:rPr>
        <w:t xml:space="preserve"> </w:t>
      </w:r>
      <w:r w:rsidRPr="00DC59C7">
        <w:rPr>
          <w:sz w:val="24"/>
          <w:szCs w:val="24"/>
        </w:rPr>
        <w:t xml:space="preserve">in the year up to </w:t>
      </w:r>
      <w:r w:rsidR="004026A4">
        <w:rPr>
          <w:sz w:val="24"/>
          <w:szCs w:val="24"/>
        </w:rPr>
        <w:t>5</w:t>
      </w:r>
      <w:r w:rsidR="004026A4" w:rsidRPr="004026A4">
        <w:rPr>
          <w:sz w:val="24"/>
          <w:szCs w:val="24"/>
          <w:vertAlign w:val="superscript"/>
        </w:rPr>
        <w:t>th</w:t>
      </w:r>
      <w:r w:rsidR="004026A4">
        <w:rPr>
          <w:sz w:val="24"/>
          <w:szCs w:val="24"/>
        </w:rPr>
        <w:t xml:space="preserve"> April </w:t>
      </w:r>
      <w:r w:rsidR="00AD768F">
        <w:rPr>
          <w:sz w:val="24"/>
          <w:szCs w:val="24"/>
        </w:rPr>
        <w:t>2020</w:t>
      </w:r>
      <w:r w:rsidRPr="00DC59C7">
        <w:rPr>
          <w:sz w:val="24"/>
          <w:szCs w:val="24"/>
        </w:rPr>
        <w:t>.</w:t>
      </w:r>
    </w:p>
    <w:p w14:paraId="2303DF9F" w14:textId="77777777" w:rsidR="003D701D" w:rsidRDefault="003D701D" w:rsidP="00BB6709">
      <w:pPr>
        <w:rPr>
          <w:sz w:val="24"/>
          <w:szCs w:val="24"/>
        </w:rPr>
      </w:pPr>
      <w:r w:rsidRPr="003D701D">
        <w:rPr>
          <w:sz w:val="24"/>
          <w:szCs w:val="24"/>
        </w:rPr>
        <w:t xml:space="preserve">The ordinary pay element is calculated after any salary sacrifice deductions are made. The gender split for </w:t>
      </w:r>
      <w:r>
        <w:rPr>
          <w:sz w:val="24"/>
          <w:szCs w:val="24"/>
        </w:rPr>
        <w:t xml:space="preserve">take up of schemes </w:t>
      </w:r>
      <w:r w:rsidRPr="003D701D">
        <w:rPr>
          <w:sz w:val="24"/>
          <w:szCs w:val="24"/>
        </w:rPr>
        <w:t xml:space="preserve">such </w:t>
      </w:r>
      <w:r w:rsidR="00B9631F">
        <w:rPr>
          <w:sz w:val="24"/>
          <w:szCs w:val="24"/>
        </w:rPr>
        <w:t xml:space="preserve">as lease cars, child car and car parking is comparable between female and male employees suggesting minimal impact of such </w:t>
      </w:r>
      <w:r w:rsidRPr="003D701D">
        <w:rPr>
          <w:sz w:val="24"/>
          <w:szCs w:val="24"/>
        </w:rPr>
        <w:t xml:space="preserve">schemes </w:t>
      </w:r>
      <w:r w:rsidR="00B9631F">
        <w:rPr>
          <w:sz w:val="24"/>
          <w:szCs w:val="24"/>
        </w:rPr>
        <w:t xml:space="preserve">on </w:t>
      </w:r>
      <w:r w:rsidRPr="003D701D">
        <w:rPr>
          <w:sz w:val="24"/>
          <w:szCs w:val="24"/>
        </w:rPr>
        <w:t>the ordinary pay element.</w:t>
      </w:r>
      <w:r w:rsidRPr="003D701D">
        <w:t xml:space="preserve"> </w:t>
      </w:r>
      <w:r w:rsidR="00833967">
        <w:t xml:space="preserve"> </w:t>
      </w:r>
    </w:p>
    <w:p w14:paraId="66A690AE" w14:textId="77777777" w:rsidR="00543EEC" w:rsidRPr="003D701D" w:rsidRDefault="00D02787" w:rsidP="00D503E5">
      <w:pPr>
        <w:rPr>
          <w:rFonts w:eastAsia="Times New Roman" w:cs="Arial"/>
          <w:b/>
          <w:sz w:val="28"/>
          <w:szCs w:val="28"/>
          <w:u w:val="single"/>
          <w:lang w:val="en-US"/>
        </w:rPr>
      </w:pPr>
      <w:r w:rsidRPr="006A417D">
        <w:rPr>
          <w:rFonts w:eastAsia="Times New Roman" w:cs="Arial"/>
          <w:b/>
          <w:color w:val="002060"/>
          <w:sz w:val="28"/>
          <w:szCs w:val="28"/>
          <w:lang w:val="en-US"/>
        </w:rPr>
        <w:t>Bonus proportions</w:t>
      </w:r>
      <w:r w:rsidR="00543EEC" w:rsidRPr="00543EEC">
        <w:t xml:space="preserve"> </w:t>
      </w:r>
      <w:r w:rsidR="00543EEC" w:rsidRPr="003D701D">
        <w:rPr>
          <w:rFonts w:eastAsia="Times New Roman" w:cs="Arial"/>
          <w:sz w:val="24"/>
          <w:szCs w:val="24"/>
          <w:lang w:val="en-US"/>
        </w:rPr>
        <w:t>of male and female relevant employee</w:t>
      </w:r>
      <w:r w:rsidR="003D701D">
        <w:rPr>
          <w:rFonts w:eastAsia="Times New Roman" w:cs="Arial"/>
          <w:sz w:val="24"/>
          <w:szCs w:val="24"/>
          <w:lang w:val="en-US"/>
        </w:rPr>
        <w:t xml:space="preserve">s who were paid bonus pay </w:t>
      </w:r>
      <w:r w:rsidR="00543EEC" w:rsidRPr="003D701D">
        <w:rPr>
          <w:rFonts w:eastAsia="Times New Roman" w:cs="Arial"/>
          <w:sz w:val="24"/>
          <w:szCs w:val="24"/>
          <w:lang w:val="en-US"/>
        </w:rPr>
        <w:t>follows</w:t>
      </w:r>
      <w:r w:rsidR="003D701D">
        <w:rPr>
          <w:rFonts w:eastAsia="Times New Roman" w:cs="Arial"/>
          <w:sz w:val="24"/>
          <w:szCs w:val="24"/>
          <w:lang w:val="en-US"/>
        </w:rPr>
        <w:t>.</w:t>
      </w:r>
      <w:r w:rsidR="003D701D" w:rsidRPr="003D701D">
        <w:t xml:space="preserve"> </w:t>
      </w:r>
      <w:r w:rsidR="003D701D" w:rsidRPr="003D701D">
        <w:rPr>
          <w:rFonts w:eastAsia="Times New Roman" w:cs="Arial"/>
          <w:sz w:val="24"/>
          <w:szCs w:val="24"/>
          <w:lang w:val="en-US"/>
        </w:rPr>
        <w:t>Not</w:t>
      </w:r>
      <w:r w:rsidR="003D701D">
        <w:rPr>
          <w:rFonts w:eastAsia="Times New Roman" w:cs="Arial"/>
          <w:sz w:val="24"/>
          <w:szCs w:val="24"/>
          <w:lang w:val="en-US"/>
        </w:rPr>
        <w:t xml:space="preserve"> </w:t>
      </w:r>
      <w:r w:rsidR="003D701D" w:rsidRPr="003D701D">
        <w:rPr>
          <w:rFonts w:eastAsia="Times New Roman" w:cs="Arial"/>
          <w:sz w:val="24"/>
          <w:szCs w:val="24"/>
          <w:lang w:val="en-US"/>
        </w:rPr>
        <w:t>all occupations in the Company attract bonus payments</w:t>
      </w:r>
      <w:r w:rsidR="00285714">
        <w:rPr>
          <w:rFonts w:eastAsia="Times New Roman" w:cs="Arial"/>
          <w:sz w:val="24"/>
          <w:szCs w:val="24"/>
          <w:lang w:val="en-US"/>
        </w:rPr>
        <w:t>, with the focus being front line manual operational roles.</w:t>
      </w:r>
      <w:r w:rsidR="003D701D" w:rsidRPr="003D701D">
        <w:rPr>
          <w:rFonts w:eastAsia="Times New Roman" w:cs="Arial"/>
          <w:sz w:val="24"/>
          <w:szCs w:val="24"/>
          <w:lang w:val="en-US"/>
        </w:rPr>
        <w:t xml:space="preserve"> </w:t>
      </w:r>
      <w:r w:rsidR="00B9631F" w:rsidRPr="00B9631F">
        <w:rPr>
          <w:rFonts w:eastAsia="Times New Roman" w:cs="Arial"/>
          <w:sz w:val="24"/>
          <w:szCs w:val="24"/>
          <w:lang w:val="en-US"/>
        </w:rPr>
        <w:t>The</w:t>
      </w:r>
      <w:r w:rsidR="00B9631F">
        <w:rPr>
          <w:rFonts w:eastAsia="Times New Roman" w:cs="Arial"/>
          <w:sz w:val="24"/>
          <w:szCs w:val="24"/>
          <w:lang w:val="en-US"/>
        </w:rPr>
        <w:t xml:space="preserve"> bonus payments relate to the Company’s performance agreements related to service quality</w:t>
      </w:r>
      <w:r w:rsidR="00F610F4">
        <w:rPr>
          <w:rFonts w:eastAsia="Times New Roman" w:cs="Arial"/>
          <w:sz w:val="24"/>
          <w:szCs w:val="24"/>
          <w:lang w:val="en-US"/>
        </w:rPr>
        <w:t xml:space="preserve"> and attendance</w:t>
      </w:r>
      <w:r w:rsidR="00285714">
        <w:rPr>
          <w:rFonts w:eastAsia="Times New Roman" w:cs="Arial"/>
          <w:sz w:val="24"/>
          <w:szCs w:val="24"/>
          <w:lang w:val="en-US"/>
        </w:rPr>
        <w:t xml:space="preserve">. </w:t>
      </w:r>
      <w:r w:rsidR="00B9631F">
        <w:rPr>
          <w:rFonts w:eastAsia="Times New Roman" w:cs="Arial"/>
          <w:sz w:val="24"/>
          <w:szCs w:val="24"/>
          <w:lang w:val="en-US"/>
        </w:rPr>
        <w:t xml:space="preserve"> </w:t>
      </w:r>
    </w:p>
    <w:p w14:paraId="1F094CB6" w14:textId="77777777" w:rsidR="00543EEC" w:rsidRPr="006A417D" w:rsidRDefault="005B2114" w:rsidP="00D503E5">
      <w:pPr>
        <w:rPr>
          <w:rFonts w:eastAsia="Times New Roman" w:cs="Arial"/>
          <w:color w:val="002060"/>
          <w:sz w:val="28"/>
          <w:szCs w:val="28"/>
          <w:lang w:val="en-US"/>
        </w:rPr>
      </w:pPr>
      <w:r>
        <w:rPr>
          <w:noProof/>
          <w:lang w:eastAsia="en-GB"/>
        </w:rPr>
        <w:lastRenderedPageBreak/>
        <w:drawing>
          <wp:inline distT="0" distB="0" distL="0" distR="0" wp14:anchorId="39BF66B8" wp14:editId="7ED4645A">
            <wp:extent cx="4276725" cy="212407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6A417D">
        <w:rPr>
          <w:rFonts w:eastAsia="Times New Roman" w:cs="Arial"/>
          <w:color w:val="002060"/>
          <w:sz w:val="28"/>
          <w:szCs w:val="28"/>
          <w:lang w:val="en-US"/>
        </w:rPr>
        <w:tab/>
      </w:r>
      <w:r>
        <w:rPr>
          <w:noProof/>
          <w:lang w:eastAsia="en-GB"/>
        </w:rPr>
        <w:drawing>
          <wp:inline distT="0" distB="0" distL="0" distR="0" wp14:anchorId="351AC3C9" wp14:editId="5ED5CFDB">
            <wp:extent cx="3886200" cy="220027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6A417D">
        <w:rPr>
          <w:rFonts w:eastAsia="Times New Roman" w:cs="Arial"/>
          <w:color w:val="002060"/>
          <w:sz w:val="28"/>
          <w:szCs w:val="28"/>
          <w:lang w:val="en-US"/>
        </w:rPr>
        <w:tab/>
      </w:r>
      <w:r w:rsidR="006A417D">
        <w:rPr>
          <w:rFonts w:eastAsia="Times New Roman" w:cs="Arial"/>
          <w:color w:val="002060"/>
          <w:sz w:val="28"/>
          <w:szCs w:val="28"/>
          <w:lang w:val="en-US"/>
        </w:rPr>
        <w:tab/>
      </w:r>
    </w:p>
    <w:p w14:paraId="42D0B25E" w14:textId="77777777" w:rsidR="006A0233" w:rsidRPr="00E813F5" w:rsidRDefault="00475F49" w:rsidP="00B457F2">
      <w:pPr>
        <w:rPr>
          <w:rFonts w:eastAsia="Times New Roman" w:cs="Arial"/>
          <w:b/>
          <w:color w:val="002060"/>
          <w:sz w:val="26"/>
          <w:szCs w:val="26"/>
          <w:lang w:val="en-US"/>
        </w:rPr>
      </w:pPr>
      <w:r w:rsidRPr="00F5433C">
        <w:rPr>
          <w:rFonts w:eastAsia="Times New Roman" w:cs="Arial"/>
          <w:noProof/>
          <w:color w:val="002060"/>
          <w:sz w:val="24"/>
          <w:szCs w:val="24"/>
          <w:lang w:eastAsia="en-GB"/>
        </w:rPr>
        <w:drawing>
          <wp:anchor distT="0" distB="0" distL="114300" distR="114300" simplePos="0" relativeHeight="251753472" behindDoc="0" locked="0" layoutInCell="1" allowOverlap="1" wp14:anchorId="4B93FC98" wp14:editId="074E2C9D">
            <wp:simplePos x="0" y="0"/>
            <wp:positionH relativeFrom="margin">
              <wp:posOffset>3274060</wp:posOffset>
            </wp:positionH>
            <wp:positionV relativeFrom="margin">
              <wp:posOffset>8395335</wp:posOffset>
            </wp:positionV>
            <wp:extent cx="323850" cy="67246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 cy="672465"/>
                    </a:xfrm>
                    <a:prstGeom prst="rect">
                      <a:avLst/>
                    </a:prstGeom>
                    <a:noFill/>
                  </pic:spPr>
                </pic:pic>
              </a:graphicData>
            </a:graphic>
          </wp:anchor>
        </w:drawing>
      </w:r>
      <w:r>
        <w:rPr>
          <w:noProof/>
          <w:sz w:val="28"/>
          <w:szCs w:val="28"/>
          <w:lang w:eastAsia="en-GB"/>
        </w:rPr>
        <w:drawing>
          <wp:anchor distT="0" distB="0" distL="114300" distR="114300" simplePos="0" relativeHeight="251750400" behindDoc="0" locked="0" layoutInCell="1" allowOverlap="1" wp14:anchorId="5D122AE5" wp14:editId="1D04854F">
            <wp:simplePos x="0" y="0"/>
            <wp:positionH relativeFrom="margin">
              <wp:posOffset>-12700</wp:posOffset>
            </wp:positionH>
            <wp:positionV relativeFrom="margin">
              <wp:posOffset>8368030</wp:posOffset>
            </wp:positionV>
            <wp:extent cx="326390" cy="664210"/>
            <wp:effectExtent l="0" t="0" r="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PNG"/>
                    <pic:cNvPicPr/>
                  </pic:nvPicPr>
                  <pic:blipFill>
                    <a:blip r:embed="rId1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6390" cy="664210"/>
                    </a:xfrm>
                    <a:prstGeom prst="rect">
                      <a:avLst/>
                    </a:prstGeom>
                  </pic:spPr>
                </pic:pic>
              </a:graphicData>
            </a:graphic>
            <wp14:sizeRelH relativeFrom="margin">
              <wp14:pctWidth>0</wp14:pctWidth>
            </wp14:sizeRelH>
            <wp14:sizeRelV relativeFrom="margin">
              <wp14:pctHeight>0</wp14:pctHeight>
            </wp14:sizeRelV>
          </wp:anchor>
        </w:drawing>
      </w:r>
      <w:r w:rsidR="00E813F5" w:rsidRPr="00E813F5">
        <w:rPr>
          <w:rFonts w:eastAsia="Times New Roman" w:cs="Arial"/>
          <w:b/>
          <w:color w:val="002060"/>
          <w:sz w:val="26"/>
          <w:szCs w:val="26"/>
          <w:lang w:val="en-US"/>
        </w:rPr>
        <w:t>Proportion of male and female employees in each quartile of the pay structure</w:t>
      </w:r>
    </w:p>
    <w:p w14:paraId="5B57883A" w14:textId="77777777" w:rsidR="00DF4058" w:rsidRDefault="00E813F5" w:rsidP="00DF4058">
      <w:pPr>
        <w:rPr>
          <w:sz w:val="24"/>
          <w:szCs w:val="24"/>
        </w:rPr>
      </w:pPr>
      <w:r>
        <w:rPr>
          <w:sz w:val="24"/>
          <w:szCs w:val="24"/>
        </w:rPr>
        <w:t xml:space="preserve">These graphs show the workforce composition in each pay quartile. </w:t>
      </w:r>
      <w:r w:rsidR="004B03D9">
        <w:rPr>
          <w:sz w:val="24"/>
          <w:szCs w:val="24"/>
        </w:rPr>
        <w:t>50.4</w:t>
      </w:r>
      <w:r w:rsidR="00FF588F" w:rsidRPr="00FF588F">
        <w:rPr>
          <w:sz w:val="24"/>
          <w:szCs w:val="24"/>
        </w:rPr>
        <w:t>% of our workforce is female</w:t>
      </w:r>
      <w:r w:rsidR="00FF588F">
        <w:rPr>
          <w:sz w:val="24"/>
          <w:szCs w:val="24"/>
        </w:rPr>
        <w:t xml:space="preserve">. </w:t>
      </w:r>
      <w:r w:rsidR="00FF588F" w:rsidRPr="00FF588F">
        <w:rPr>
          <w:sz w:val="24"/>
          <w:szCs w:val="24"/>
        </w:rPr>
        <w:t xml:space="preserve"> </w:t>
      </w:r>
      <w:r w:rsidR="00FF588F">
        <w:rPr>
          <w:sz w:val="24"/>
          <w:szCs w:val="24"/>
        </w:rPr>
        <w:t>T</w:t>
      </w:r>
      <w:r w:rsidR="009738B3">
        <w:rPr>
          <w:sz w:val="24"/>
          <w:szCs w:val="24"/>
        </w:rPr>
        <w:t xml:space="preserve">he number of women in </w:t>
      </w:r>
      <w:r>
        <w:rPr>
          <w:sz w:val="24"/>
          <w:szCs w:val="24"/>
        </w:rPr>
        <w:t>the lower</w:t>
      </w:r>
      <w:r w:rsidR="001F2F2D">
        <w:rPr>
          <w:sz w:val="24"/>
          <w:szCs w:val="24"/>
        </w:rPr>
        <w:t xml:space="preserve"> and </w:t>
      </w:r>
      <w:r>
        <w:rPr>
          <w:sz w:val="24"/>
          <w:szCs w:val="24"/>
        </w:rPr>
        <w:t>lower middle quartile</w:t>
      </w:r>
      <w:r w:rsidR="009738B3">
        <w:rPr>
          <w:sz w:val="24"/>
          <w:szCs w:val="24"/>
        </w:rPr>
        <w:t xml:space="preserve"> is slightly higher</w:t>
      </w:r>
      <w:r>
        <w:rPr>
          <w:sz w:val="24"/>
          <w:szCs w:val="24"/>
        </w:rPr>
        <w:t xml:space="preserve">. By comparison there is a more equal representation of men and women in the </w:t>
      </w:r>
      <w:r w:rsidR="001F2F2D">
        <w:rPr>
          <w:sz w:val="24"/>
          <w:szCs w:val="24"/>
        </w:rPr>
        <w:t xml:space="preserve">upper middle </w:t>
      </w:r>
      <w:r>
        <w:rPr>
          <w:sz w:val="24"/>
          <w:szCs w:val="24"/>
        </w:rPr>
        <w:t xml:space="preserve">quartile. </w:t>
      </w:r>
      <w:r w:rsidR="009738B3">
        <w:rPr>
          <w:sz w:val="24"/>
          <w:szCs w:val="24"/>
        </w:rPr>
        <w:t xml:space="preserve">The upper quartile has more male employees than female. </w:t>
      </w:r>
      <w:r>
        <w:rPr>
          <w:sz w:val="24"/>
          <w:szCs w:val="24"/>
        </w:rPr>
        <w:t xml:space="preserve"> </w:t>
      </w:r>
    </w:p>
    <w:p w14:paraId="48120F3B" w14:textId="77777777" w:rsidR="00C3500A" w:rsidRDefault="007655E0" w:rsidP="00FF588F">
      <w:pPr>
        <w:spacing w:after="0" w:line="240" w:lineRule="auto"/>
        <w:rPr>
          <w:rFonts w:eastAsia="Times New Roman" w:cs="Arial"/>
          <w:b/>
          <w:color w:val="002060"/>
          <w:sz w:val="26"/>
          <w:szCs w:val="26"/>
          <w:lang w:val="en-US"/>
        </w:rPr>
      </w:pPr>
      <w:r>
        <w:rPr>
          <w:noProof/>
          <w:lang w:eastAsia="en-GB"/>
        </w:rPr>
        <w:lastRenderedPageBreak/>
        <w:drawing>
          <wp:inline distT="0" distB="0" distL="0" distR="0" wp14:anchorId="517AF3AD" wp14:editId="74E314BA">
            <wp:extent cx="4143375" cy="24003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C3500A">
        <w:rPr>
          <w:rFonts w:eastAsia="Times New Roman" w:cs="Arial"/>
          <w:b/>
          <w:color w:val="002060"/>
          <w:sz w:val="26"/>
          <w:szCs w:val="26"/>
          <w:lang w:val="en-US"/>
        </w:rPr>
        <w:tab/>
      </w:r>
      <w:r>
        <w:rPr>
          <w:noProof/>
          <w:lang w:eastAsia="en-GB"/>
        </w:rPr>
        <w:drawing>
          <wp:inline distT="0" distB="0" distL="0" distR="0" wp14:anchorId="469F1E74" wp14:editId="61601DC8">
            <wp:extent cx="3819525" cy="23907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C3500A">
        <w:rPr>
          <w:rFonts w:eastAsia="Times New Roman" w:cs="Arial"/>
          <w:b/>
          <w:color w:val="002060"/>
          <w:sz w:val="26"/>
          <w:szCs w:val="26"/>
          <w:lang w:val="en-US"/>
        </w:rPr>
        <w:tab/>
      </w:r>
    </w:p>
    <w:p w14:paraId="77DF356E" w14:textId="77777777" w:rsidR="00C3500A" w:rsidRDefault="00C3500A" w:rsidP="00FF588F">
      <w:pPr>
        <w:spacing w:after="0" w:line="240" w:lineRule="auto"/>
        <w:rPr>
          <w:rFonts w:eastAsia="Times New Roman" w:cs="Arial"/>
          <w:b/>
          <w:color w:val="002060"/>
          <w:sz w:val="26"/>
          <w:szCs w:val="26"/>
          <w:lang w:val="en-US"/>
        </w:rPr>
      </w:pPr>
    </w:p>
    <w:p w14:paraId="4911A57C" w14:textId="77777777" w:rsidR="007E1DCE" w:rsidRDefault="007655E0" w:rsidP="00FF588F">
      <w:pPr>
        <w:spacing w:after="0" w:line="240" w:lineRule="auto"/>
        <w:rPr>
          <w:rFonts w:eastAsia="Times New Roman" w:cs="Arial"/>
          <w:b/>
          <w:color w:val="002060"/>
          <w:sz w:val="26"/>
          <w:szCs w:val="26"/>
          <w:lang w:val="en-US"/>
        </w:rPr>
      </w:pPr>
      <w:r>
        <w:rPr>
          <w:noProof/>
          <w:lang w:eastAsia="en-GB"/>
        </w:rPr>
        <w:drawing>
          <wp:inline distT="0" distB="0" distL="0" distR="0" wp14:anchorId="3F637319" wp14:editId="65436012">
            <wp:extent cx="4029075" cy="24669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C3500A">
        <w:rPr>
          <w:rFonts w:eastAsia="Times New Roman" w:cs="Arial"/>
          <w:b/>
          <w:color w:val="002060"/>
          <w:sz w:val="26"/>
          <w:szCs w:val="26"/>
          <w:lang w:val="en-US"/>
        </w:rPr>
        <w:tab/>
      </w:r>
      <w:r w:rsidR="007E1DCE">
        <w:rPr>
          <w:noProof/>
          <w:lang w:eastAsia="en-GB"/>
        </w:rPr>
        <w:t xml:space="preserve"> </w:t>
      </w:r>
      <w:r w:rsidR="007E1DCE">
        <w:rPr>
          <w:noProof/>
          <w:lang w:eastAsia="en-GB"/>
        </w:rPr>
        <w:drawing>
          <wp:inline distT="0" distB="0" distL="0" distR="0" wp14:anchorId="64C97225" wp14:editId="1F2CECF4">
            <wp:extent cx="4572000" cy="246697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5066EDF" w14:textId="77777777" w:rsidR="00C3500A" w:rsidRDefault="00C3500A" w:rsidP="00FF588F">
      <w:pPr>
        <w:spacing w:after="0" w:line="240" w:lineRule="auto"/>
        <w:rPr>
          <w:rFonts w:eastAsia="Times New Roman" w:cs="Arial"/>
          <w:b/>
          <w:color w:val="002060"/>
          <w:sz w:val="26"/>
          <w:szCs w:val="26"/>
          <w:lang w:val="en-US"/>
        </w:rPr>
      </w:pPr>
      <w:r>
        <w:rPr>
          <w:rFonts w:eastAsia="Times New Roman" w:cs="Arial"/>
          <w:b/>
          <w:color w:val="002060"/>
          <w:sz w:val="26"/>
          <w:szCs w:val="26"/>
          <w:lang w:val="en-US"/>
        </w:rPr>
        <w:tab/>
      </w:r>
      <w:r>
        <w:rPr>
          <w:rFonts w:eastAsia="Times New Roman" w:cs="Arial"/>
          <w:b/>
          <w:color w:val="002060"/>
          <w:sz w:val="26"/>
          <w:szCs w:val="26"/>
          <w:lang w:val="en-US"/>
        </w:rPr>
        <w:tab/>
      </w:r>
    </w:p>
    <w:p w14:paraId="22D83F46" w14:textId="77777777" w:rsidR="009738B3" w:rsidRDefault="009738B3" w:rsidP="00FF588F">
      <w:pPr>
        <w:spacing w:after="0" w:line="240" w:lineRule="auto"/>
        <w:rPr>
          <w:rFonts w:eastAsia="Times New Roman" w:cs="Arial"/>
          <w:b/>
          <w:color w:val="002060"/>
          <w:sz w:val="26"/>
          <w:szCs w:val="26"/>
          <w:lang w:val="en-US"/>
        </w:rPr>
      </w:pPr>
    </w:p>
    <w:p w14:paraId="5D00273C" w14:textId="77777777" w:rsidR="009738B3" w:rsidRDefault="009738B3" w:rsidP="00FF588F">
      <w:pPr>
        <w:spacing w:after="0" w:line="240" w:lineRule="auto"/>
        <w:rPr>
          <w:rFonts w:eastAsia="Times New Roman" w:cs="Arial"/>
          <w:b/>
          <w:color w:val="002060"/>
          <w:sz w:val="26"/>
          <w:szCs w:val="26"/>
          <w:lang w:val="en-US"/>
        </w:rPr>
      </w:pPr>
    </w:p>
    <w:p w14:paraId="69EE1B96" w14:textId="77777777" w:rsidR="00FF588F" w:rsidRDefault="00FF588F" w:rsidP="00FF588F">
      <w:pPr>
        <w:spacing w:after="0" w:line="240" w:lineRule="auto"/>
        <w:rPr>
          <w:sz w:val="24"/>
          <w:szCs w:val="24"/>
        </w:rPr>
      </w:pPr>
      <w:r w:rsidRPr="009738B3">
        <w:rPr>
          <w:rFonts w:eastAsia="Times New Roman" w:cs="Arial"/>
          <w:b/>
          <w:color w:val="002060"/>
          <w:sz w:val="26"/>
          <w:szCs w:val="26"/>
          <w:lang w:val="en-US"/>
        </w:rPr>
        <w:lastRenderedPageBreak/>
        <w:t>Additional Analysis</w:t>
      </w:r>
      <w:r w:rsidRPr="00CE4635">
        <w:rPr>
          <w:sz w:val="24"/>
          <w:szCs w:val="24"/>
        </w:rPr>
        <w:t xml:space="preserve"> </w:t>
      </w:r>
    </w:p>
    <w:p w14:paraId="6EA52DD2" w14:textId="77777777" w:rsidR="009738B3" w:rsidRDefault="009738B3" w:rsidP="00FF588F">
      <w:pPr>
        <w:spacing w:after="0" w:line="240" w:lineRule="auto"/>
        <w:rPr>
          <w:sz w:val="24"/>
          <w:szCs w:val="24"/>
        </w:rPr>
      </w:pPr>
    </w:p>
    <w:p w14:paraId="6BD1F063" w14:textId="22D0C22F" w:rsidR="00E96DA2" w:rsidRPr="009738B3" w:rsidRDefault="00E96DA2" w:rsidP="00FF588F">
      <w:pPr>
        <w:spacing w:after="0" w:line="240" w:lineRule="auto"/>
        <w:rPr>
          <w:color w:val="000000" w:themeColor="text1"/>
          <w:sz w:val="24"/>
          <w:szCs w:val="24"/>
        </w:rPr>
      </w:pPr>
      <w:r w:rsidRPr="009738B3">
        <w:rPr>
          <w:color w:val="000000" w:themeColor="text1"/>
          <w:sz w:val="24"/>
          <w:szCs w:val="24"/>
        </w:rPr>
        <w:t xml:space="preserve">The overall gender pay gap is a high level, non-adjusted indicator of male and female earnings. The gap is therefore significantly affected by the </w:t>
      </w:r>
      <w:r w:rsidR="00EF4A53" w:rsidRPr="009738B3">
        <w:rPr>
          <w:color w:val="000000" w:themeColor="text1"/>
          <w:sz w:val="24"/>
          <w:szCs w:val="24"/>
        </w:rPr>
        <w:t>make-up</w:t>
      </w:r>
      <w:r w:rsidRPr="009738B3">
        <w:rPr>
          <w:color w:val="000000" w:themeColor="text1"/>
          <w:sz w:val="24"/>
          <w:szCs w:val="24"/>
        </w:rPr>
        <w:t xml:space="preserve"> of the workforce and th</w:t>
      </w:r>
      <w:r w:rsidR="002B2958" w:rsidRPr="009738B3">
        <w:rPr>
          <w:color w:val="000000" w:themeColor="text1"/>
          <w:sz w:val="24"/>
          <w:szCs w:val="24"/>
        </w:rPr>
        <w:t xml:space="preserve">at the nature of the </w:t>
      </w:r>
      <w:r w:rsidRPr="009738B3">
        <w:rPr>
          <w:color w:val="000000" w:themeColor="text1"/>
          <w:sz w:val="24"/>
          <w:szCs w:val="24"/>
        </w:rPr>
        <w:t xml:space="preserve">workforce </w:t>
      </w:r>
      <w:r w:rsidR="002B2958" w:rsidRPr="009738B3">
        <w:rPr>
          <w:color w:val="000000" w:themeColor="text1"/>
          <w:sz w:val="24"/>
          <w:szCs w:val="24"/>
        </w:rPr>
        <w:t>is predominantly ancillary, with t</w:t>
      </w:r>
      <w:r w:rsidRPr="009738B3">
        <w:rPr>
          <w:color w:val="000000" w:themeColor="text1"/>
          <w:sz w:val="24"/>
          <w:szCs w:val="24"/>
        </w:rPr>
        <w:t>he majority of the Company’s staff being in the lower pay grades. This means that the overall pay gap is distorted, reflecting workforce composition rather than pay inequalities. This is particularly evident in the cleaning and catering services which have a large female workforce.</w:t>
      </w:r>
      <w:r w:rsidR="001607A1">
        <w:rPr>
          <w:color w:val="000000" w:themeColor="text1"/>
          <w:sz w:val="24"/>
          <w:szCs w:val="24"/>
        </w:rPr>
        <w:t xml:space="preserve"> </w:t>
      </w:r>
      <w:r w:rsidR="00D229B8">
        <w:rPr>
          <w:color w:val="000000" w:themeColor="text1"/>
          <w:sz w:val="24"/>
          <w:szCs w:val="24"/>
        </w:rPr>
        <w:t>We will</w:t>
      </w:r>
      <w:r w:rsidR="002B2958" w:rsidRPr="009738B3">
        <w:rPr>
          <w:color w:val="000000" w:themeColor="text1"/>
          <w:sz w:val="24"/>
          <w:szCs w:val="24"/>
        </w:rPr>
        <w:t xml:space="preserve"> </w:t>
      </w:r>
      <w:r w:rsidRPr="009738B3">
        <w:rPr>
          <w:color w:val="000000" w:themeColor="text1"/>
          <w:sz w:val="24"/>
          <w:szCs w:val="24"/>
        </w:rPr>
        <w:t>undertak</w:t>
      </w:r>
      <w:r w:rsidR="002B2958" w:rsidRPr="009738B3">
        <w:rPr>
          <w:color w:val="000000" w:themeColor="text1"/>
          <w:sz w:val="24"/>
          <w:szCs w:val="24"/>
        </w:rPr>
        <w:t>e</w:t>
      </w:r>
      <w:r w:rsidRPr="009738B3">
        <w:rPr>
          <w:color w:val="000000" w:themeColor="text1"/>
          <w:sz w:val="24"/>
          <w:szCs w:val="24"/>
        </w:rPr>
        <w:t xml:space="preserve"> further analysis to </w:t>
      </w:r>
      <w:r w:rsidR="00CE4635" w:rsidRPr="009738B3">
        <w:rPr>
          <w:color w:val="000000" w:themeColor="text1"/>
          <w:sz w:val="24"/>
          <w:szCs w:val="24"/>
        </w:rPr>
        <w:t xml:space="preserve">better understand the gender pay gap report results and the reasons behind the pay </w:t>
      </w:r>
      <w:r w:rsidR="00D229B8">
        <w:rPr>
          <w:color w:val="000000" w:themeColor="text1"/>
          <w:sz w:val="24"/>
          <w:szCs w:val="24"/>
        </w:rPr>
        <w:t>gap</w:t>
      </w:r>
      <w:r w:rsidR="00CE4635" w:rsidRPr="009738B3">
        <w:rPr>
          <w:color w:val="000000" w:themeColor="text1"/>
          <w:sz w:val="24"/>
          <w:szCs w:val="24"/>
        </w:rPr>
        <w:t>.</w:t>
      </w:r>
    </w:p>
    <w:p w14:paraId="6FFFF5AE" w14:textId="77777777" w:rsidR="00F610F4" w:rsidRDefault="00F610F4" w:rsidP="00FF588F">
      <w:pPr>
        <w:spacing w:after="0" w:line="240" w:lineRule="auto"/>
        <w:rPr>
          <w:color w:val="FF0000"/>
          <w:sz w:val="24"/>
          <w:szCs w:val="24"/>
        </w:rPr>
      </w:pPr>
    </w:p>
    <w:tbl>
      <w:tblPr>
        <w:tblStyle w:val="TableGrid"/>
        <w:tblW w:w="9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7"/>
        <w:gridCol w:w="386"/>
      </w:tblGrid>
      <w:tr w:rsidR="00F610F4" w:rsidRPr="00515426" w14:paraId="0034A6B7" w14:textId="77777777" w:rsidTr="002550B1">
        <w:trPr>
          <w:trHeight w:val="207"/>
        </w:trPr>
        <w:tc>
          <w:tcPr>
            <w:tcW w:w="9157" w:type="dxa"/>
          </w:tcPr>
          <w:p w14:paraId="49810DD2" w14:textId="77777777" w:rsidR="00F610F4" w:rsidRPr="00200131" w:rsidRDefault="00F610F4" w:rsidP="002550B1">
            <w:pPr>
              <w:rPr>
                <w:b/>
                <w:color w:val="002060"/>
                <w:sz w:val="24"/>
                <w:szCs w:val="24"/>
              </w:rPr>
            </w:pPr>
            <w:r>
              <w:rPr>
                <w:b/>
                <w:color w:val="002060"/>
                <w:sz w:val="24"/>
                <w:szCs w:val="24"/>
              </w:rPr>
              <w:t>Summary a</w:t>
            </w:r>
            <w:r w:rsidRPr="00200131">
              <w:rPr>
                <w:b/>
                <w:color w:val="002060"/>
                <w:sz w:val="24"/>
                <w:szCs w:val="24"/>
              </w:rPr>
              <w:t>nalysis of Gender Pay Gap</w:t>
            </w:r>
          </w:p>
          <w:p w14:paraId="76FC03A2" w14:textId="77777777" w:rsidR="00F610F4" w:rsidRPr="00200131" w:rsidRDefault="00F610F4" w:rsidP="006E188C">
            <w:pPr>
              <w:rPr>
                <w:sz w:val="24"/>
                <w:szCs w:val="24"/>
              </w:rPr>
            </w:pPr>
          </w:p>
        </w:tc>
        <w:tc>
          <w:tcPr>
            <w:tcW w:w="386" w:type="dxa"/>
          </w:tcPr>
          <w:p w14:paraId="3D244F98" w14:textId="77777777" w:rsidR="00F610F4" w:rsidRPr="00200131" w:rsidRDefault="00F610F4" w:rsidP="002550B1">
            <w:pPr>
              <w:rPr>
                <w:sz w:val="24"/>
                <w:szCs w:val="24"/>
              </w:rPr>
            </w:pPr>
          </w:p>
          <w:p w14:paraId="350E49DE" w14:textId="77777777" w:rsidR="00F610F4" w:rsidRPr="00200131" w:rsidRDefault="00F610F4" w:rsidP="002550B1">
            <w:pPr>
              <w:jc w:val="center"/>
              <w:rPr>
                <w:sz w:val="24"/>
                <w:szCs w:val="24"/>
              </w:rPr>
            </w:pPr>
          </w:p>
        </w:tc>
      </w:tr>
    </w:tbl>
    <w:p w14:paraId="747B9C25" w14:textId="507AF222" w:rsidR="00F610F4" w:rsidRPr="003E76A5" w:rsidRDefault="006E188C" w:rsidP="003E76A5">
      <w:pPr>
        <w:jc w:val="both"/>
        <w:rPr>
          <w:sz w:val="24"/>
        </w:rPr>
      </w:pPr>
      <w:r w:rsidRPr="006E188C">
        <w:rPr>
          <w:sz w:val="24"/>
          <w:szCs w:val="24"/>
        </w:rPr>
        <w:t>The overall gender pay gap is a high level, non-adjusted indicator of male and female earnings</w:t>
      </w:r>
      <w:r>
        <w:rPr>
          <w:sz w:val="24"/>
          <w:szCs w:val="24"/>
        </w:rPr>
        <w:t>.</w:t>
      </w:r>
      <w:r w:rsidRPr="006E188C">
        <w:rPr>
          <w:sz w:val="24"/>
          <w:szCs w:val="24"/>
        </w:rPr>
        <w:t xml:space="preserve"> </w:t>
      </w:r>
      <w:r w:rsidR="00271F4E">
        <w:rPr>
          <w:sz w:val="24"/>
          <w:szCs w:val="24"/>
        </w:rPr>
        <w:t>50.4</w:t>
      </w:r>
      <w:r w:rsidR="00F610F4" w:rsidRPr="00200131">
        <w:rPr>
          <w:sz w:val="24"/>
          <w:szCs w:val="24"/>
        </w:rPr>
        <w:t xml:space="preserve">% of our workforce is female and </w:t>
      </w:r>
      <w:r w:rsidRPr="006E188C">
        <w:rPr>
          <w:sz w:val="24"/>
          <w:szCs w:val="24"/>
        </w:rPr>
        <w:t>the nature of the workforce is predominantly ancillary, with the majority of the Company’s staff being in the lower pay grades. This means that the overall pay gap is distorted, reflecting workforce composition rather than pay inequalities. This is particularly evident in the cleaning and catering services which have a large female workforce.</w:t>
      </w:r>
      <w:r>
        <w:rPr>
          <w:sz w:val="24"/>
          <w:szCs w:val="24"/>
        </w:rPr>
        <w:t xml:space="preserve"> A </w:t>
      </w:r>
      <w:r w:rsidR="00F610F4" w:rsidRPr="00200131">
        <w:rPr>
          <w:sz w:val="24"/>
          <w:szCs w:val="24"/>
        </w:rPr>
        <w:t xml:space="preserve">higher percentage of female staff </w:t>
      </w:r>
      <w:r w:rsidR="00F610F4">
        <w:rPr>
          <w:sz w:val="24"/>
          <w:szCs w:val="24"/>
        </w:rPr>
        <w:t>are</w:t>
      </w:r>
      <w:r w:rsidR="00F610F4" w:rsidRPr="00200131">
        <w:rPr>
          <w:sz w:val="24"/>
          <w:szCs w:val="24"/>
        </w:rPr>
        <w:t xml:space="preserve"> employed within the lower to </w:t>
      </w:r>
      <w:r w:rsidR="002B2958">
        <w:rPr>
          <w:sz w:val="24"/>
          <w:szCs w:val="24"/>
        </w:rPr>
        <w:t xml:space="preserve">lower </w:t>
      </w:r>
      <w:r w:rsidR="00F610F4" w:rsidRPr="00200131">
        <w:rPr>
          <w:sz w:val="24"/>
          <w:szCs w:val="24"/>
        </w:rPr>
        <w:t>middle quartiles c</w:t>
      </w:r>
      <w:r>
        <w:rPr>
          <w:sz w:val="24"/>
          <w:szCs w:val="24"/>
        </w:rPr>
        <w:t>ompared to the upper quartile. T</w:t>
      </w:r>
      <w:r w:rsidR="00F610F4" w:rsidRPr="00144889">
        <w:rPr>
          <w:sz w:val="24"/>
        </w:rPr>
        <w:t xml:space="preserve">he data </w:t>
      </w:r>
      <w:r>
        <w:rPr>
          <w:sz w:val="24"/>
        </w:rPr>
        <w:t xml:space="preserve">informs us </w:t>
      </w:r>
      <w:r w:rsidR="00F610F4" w:rsidRPr="00144889">
        <w:rPr>
          <w:sz w:val="24"/>
        </w:rPr>
        <w:t>that there are more male employees in highe</w:t>
      </w:r>
      <w:r>
        <w:rPr>
          <w:sz w:val="24"/>
        </w:rPr>
        <w:t>st</w:t>
      </w:r>
      <w:r w:rsidR="00F610F4" w:rsidRPr="00144889">
        <w:rPr>
          <w:sz w:val="24"/>
        </w:rPr>
        <w:t xml:space="preserve"> paid roles w</w:t>
      </w:r>
      <w:r>
        <w:rPr>
          <w:sz w:val="24"/>
        </w:rPr>
        <w:t xml:space="preserve">ith a greater prevalence of female part time staff in lower paid roles. </w:t>
      </w:r>
      <w:r w:rsidR="00D229B8">
        <w:rPr>
          <w:sz w:val="24"/>
        </w:rPr>
        <w:t>We will</w:t>
      </w:r>
      <w:r w:rsidRPr="006E188C">
        <w:rPr>
          <w:sz w:val="24"/>
        </w:rPr>
        <w:t xml:space="preserve"> undertake further analysis to better understand the gender pay gap report results and the reasons behind the pay gaps.</w:t>
      </w:r>
    </w:p>
    <w:p w14:paraId="45221F24" w14:textId="77777777" w:rsidR="00F610F4" w:rsidRPr="002868CA" w:rsidRDefault="00271F4E" w:rsidP="00F610F4">
      <w:pPr>
        <w:spacing w:after="0"/>
        <w:rPr>
          <w:color w:val="002060"/>
          <w:sz w:val="24"/>
          <w:szCs w:val="24"/>
        </w:rPr>
      </w:pPr>
      <w:r>
        <w:rPr>
          <w:b/>
          <w:color w:val="002060"/>
          <w:sz w:val="24"/>
          <w:szCs w:val="24"/>
        </w:rPr>
        <w:t>2018 to 2020</w:t>
      </w:r>
      <w:r w:rsidR="00F610F4">
        <w:rPr>
          <w:b/>
          <w:color w:val="002060"/>
          <w:sz w:val="24"/>
          <w:szCs w:val="24"/>
        </w:rPr>
        <w:t xml:space="preserve"> Gender Pay Gap Comparison</w:t>
      </w:r>
    </w:p>
    <w:p w14:paraId="491190E7" w14:textId="77777777" w:rsidR="00F610F4" w:rsidRDefault="00F610F4" w:rsidP="00F610F4">
      <w:pPr>
        <w:spacing w:after="0"/>
        <w:rPr>
          <w:b/>
          <w:color w:val="002060"/>
          <w:sz w:val="24"/>
          <w:szCs w:val="24"/>
        </w:rPr>
      </w:pPr>
    </w:p>
    <w:p w14:paraId="41F0CC2E" w14:textId="77777777" w:rsidR="00F610F4" w:rsidRDefault="00F610F4" w:rsidP="00F610F4">
      <w:pPr>
        <w:jc w:val="both"/>
        <w:rPr>
          <w:color w:val="000000" w:themeColor="text1"/>
          <w:sz w:val="24"/>
          <w:szCs w:val="24"/>
        </w:rPr>
      </w:pPr>
      <w:r>
        <w:rPr>
          <w:color w:val="000000" w:themeColor="text1"/>
          <w:sz w:val="24"/>
          <w:szCs w:val="24"/>
        </w:rPr>
        <w:t>The comparison between 2018</w:t>
      </w:r>
      <w:r w:rsidR="00271F4E">
        <w:rPr>
          <w:color w:val="000000" w:themeColor="text1"/>
          <w:sz w:val="24"/>
          <w:szCs w:val="24"/>
        </w:rPr>
        <w:t xml:space="preserve">, </w:t>
      </w:r>
      <w:r>
        <w:rPr>
          <w:color w:val="000000" w:themeColor="text1"/>
          <w:sz w:val="24"/>
          <w:szCs w:val="24"/>
        </w:rPr>
        <w:t>2019</w:t>
      </w:r>
      <w:r w:rsidR="00271F4E">
        <w:rPr>
          <w:color w:val="000000" w:themeColor="text1"/>
          <w:sz w:val="24"/>
          <w:szCs w:val="24"/>
        </w:rPr>
        <w:t xml:space="preserve"> and 2020</w:t>
      </w:r>
      <w:r>
        <w:rPr>
          <w:color w:val="000000" w:themeColor="text1"/>
          <w:sz w:val="24"/>
          <w:szCs w:val="24"/>
        </w:rPr>
        <w:t xml:space="preserve"> highlights the following key points:</w:t>
      </w:r>
    </w:p>
    <w:tbl>
      <w:tblPr>
        <w:tblStyle w:val="TableGrid"/>
        <w:tblW w:w="14655" w:type="dxa"/>
        <w:tblInd w:w="108" w:type="dxa"/>
        <w:tblLook w:val="04A0" w:firstRow="1" w:lastRow="0" w:firstColumn="1" w:lastColumn="0" w:noHBand="0" w:noVBand="1"/>
      </w:tblPr>
      <w:tblGrid>
        <w:gridCol w:w="1534"/>
        <w:gridCol w:w="1893"/>
        <w:gridCol w:w="1893"/>
        <w:gridCol w:w="2760"/>
        <w:gridCol w:w="6575"/>
      </w:tblGrid>
      <w:tr w:rsidR="00271F4E" w14:paraId="7C36734D" w14:textId="77777777" w:rsidTr="00271F4E">
        <w:tc>
          <w:tcPr>
            <w:tcW w:w="1534" w:type="dxa"/>
          </w:tcPr>
          <w:p w14:paraId="4DD5C785" w14:textId="77777777" w:rsidR="00271F4E" w:rsidRPr="002868CA" w:rsidRDefault="00271F4E" w:rsidP="002550B1">
            <w:pPr>
              <w:jc w:val="center"/>
              <w:rPr>
                <w:b/>
                <w:color w:val="000000" w:themeColor="text1"/>
                <w:sz w:val="24"/>
                <w:szCs w:val="24"/>
              </w:rPr>
            </w:pPr>
            <w:r w:rsidRPr="002868CA">
              <w:rPr>
                <w:b/>
                <w:color w:val="000000" w:themeColor="text1"/>
                <w:sz w:val="24"/>
                <w:szCs w:val="24"/>
              </w:rPr>
              <w:t>Data Category</w:t>
            </w:r>
          </w:p>
        </w:tc>
        <w:tc>
          <w:tcPr>
            <w:tcW w:w="1893" w:type="dxa"/>
          </w:tcPr>
          <w:p w14:paraId="1D5405BF" w14:textId="77777777" w:rsidR="00271F4E" w:rsidRPr="002868CA" w:rsidRDefault="00271F4E" w:rsidP="002550B1">
            <w:pPr>
              <w:jc w:val="center"/>
              <w:rPr>
                <w:b/>
                <w:color w:val="000000" w:themeColor="text1"/>
                <w:sz w:val="24"/>
                <w:szCs w:val="24"/>
              </w:rPr>
            </w:pPr>
            <w:r>
              <w:rPr>
                <w:b/>
                <w:color w:val="000000" w:themeColor="text1"/>
                <w:sz w:val="24"/>
                <w:szCs w:val="24"/>
              </w:rPr>
              <w:t>2018</w:t>
            </w:r>
          </w:p>
        </w:tc>
        <w:tc>
          <w:tcPr>
            <w:tcW w:w="1893" w:type="dxa"/>
          </w:tcPr>
          <w:p w14:paraId="3B6D2E5A" w14:textId="77777777" w:rsidR="00271F4E" w:rsidRPr="002868CA" w:rsidRDefault="00271F4E" w:rsidP="002550B1">
            <w:pPr>
              <w:jc w:val="center"/>
              <w:rPr>
                <w:b/>
                <w:color w:val="000000" w:themeColor="text1"/>
                <w:sz w:val="24"/>
                <w:szCs w:val="24"/>
              </w:rPr>
            </w:pPr>
            <w:r>
              <w:rPr>
                <w:b/>
                <w:color w:val="000000" w:themeColor="text1"/>
                <w:sz w:val="24"/>
                <w:szCs w:val="24"/>
              </w:rPr>
              <w:t>2019</w:t>
            </w:r>
          </w:p>
        </w:tc>
        <w:tc>
          <w:tcPr>
            <w:tcW w:w="2760" w:type="dxa"/>
          </w:tcPr>
          <w:p w14:paraId="669814D9" w14:textId="77777777" w:rsidR="00271F4E" w:rsidRPr="002868CA" w:rsidRDefault="00224341" w:rsidP="002550B1">
            <w:pPr>
              <w:jc w:val="center"/>
              <w:rPr>
                <w:b/>
                <w:color w:val="000000" w:themeColor="text1"/>
                <w:sz w:val="24"/>
                <w:szCs w:val="24"/>
              </w:rPr>
            </w:pPr>
            <w:r>
              <w:rPr>
                <w:b/>
                <w:color w:val="000000" w:themeColor="text1"/>
                <w:sz w:val="24"/>
                <w:szCs w:val="24"/>
              </w:rPr>
              <w:t>2020</w:t>
            </w:r>
          </w:p>
        </w:tc>
        <w:tc>
          <w:tcPr>
            <w:tcW w:w="6575" w:type="dxa"/>
          </w:tcPr>
          <w:p w14:paraId="7364C715" w14:textId="77777777" w:rsidR="00271F4E" w:rsidRPr="002868CA" w:rsidRDefault="00271F4E" w:rsidP="002550B1">
            <w:pPr>
              <w:jc w:val="center"/>
              <w:rPr>
                <w:b/>
                <w:color w:val="000000" w:themeColor="text1"/>
                <w:sz w:val="24"/>
                <w:szCs w:val="24"/>
              </w:rPr>
            </w:pPr>
            <w:r w:rsidRPr="002868CA">
              <w:rPr>
                <w:b/>
                <w:color w:val="000000" w:themeColor="text1"/>
                <w:sz w:val="24"/>
                <w:szCs w:val="24"/>
              </w:rPr>
              <w:t>Comments</w:t>
            </w:r>
          </w:p>
        </w:tc>
      </w:tr>
      <w:tr w:rsidR="00271F4E" w14:paraId="47C7B983" w14:textId="77777777" w:rsidTr="00271F4E">
        <w:tc>
          <w:tcPr>
            <w:tcW w:w="1534" w:type="dxa"/>
          </w:tcPr>
          <w:p w14:paraId="4FF248C8" w14:textId="77777777" w:rsidR="00271F4E" w:rsidRDefault="00271F4E" w:rsidP="002550B1">
            <w:pPr>
              <w:rPr>
                <w:color w:val="000000" w:themeColor="text1"/>
                <w:sz w:val="24"/>
                <w:szCs w:val="24"/>
              </w:rPr>
            </w:pPr>
            <w:r>
              <w:rPr>
                <w:color w:val="000000" w:themeColor="text1"/>
                <w:sz w:val="24"/>
                <w:szCs w:val="24"/>
              </w:rPr>
              <w:t>Total number of employees</w:t>
            </w:r>
          </w:p>
        </w:tc>
        <w:tc>
          <w:tcPr>
            <w:tcW w:w="1893" w:type="dxa"/>
          </w:tcPr>
          <w:p w14:paraId="1CDF0B95" w14:textId="77777777" w:rsidR="00271F4E" w:rsidRDefault="00271F4E" w:rsidP="006D67BD">
            <w:pPr>
              <w:rPr>
                <w:color w:val="000000" w:themeColor="text1"/>
                <w:sz w:val="24"/>
                <w:szCs w:val="24"/>
              </w:rPr>
            </w:pPr>
            <w:r>
              <w:rPr>
                <w:color w:val="000000" w:themeColor="text1"/>
                <w:sz w:val="24"/>
                <w:szCs w:val="24"/>
              </w:rPr>
              <w:t>591 – 59% female and 41% male</w:t>
            </w:r>
          </w:p>
        </w:tc>
        <w:tc>
          <w:tcPr>
            <w:tcW w:w="1893" w:type="dxa"/>
          </w:tcPr>
          <w:p w14:paraId="33CC0E53" w14:textId="77777777" w:rsidR="00271F4E" w:rsidRDefault="00271F4E" w:rsidP="006D67BD">
            <w:pPr>
              <w:rPr>
                <w:color w:val="000000" w:themeColor="text1"/>
                <w:sz w:val="24"/>
                <w:szCs w:val="24"/>
              </w:rPr>
            </w:pPr>
            <w:r>
              <w:rPr>
                <w:color w:val="000000" w:themeColor="text1"/>
                <w:sz w:val="24"/>
                <w:szCs w:val="24"/>
              </w:rPr>
              <w:t>607 – 57% female and 43% male</w:t>
            </w:r>
          </w:p>
        </w:tc>
        <w:tc>
          <w:tcPr>
            <w:tcW w:w="2760" w:type="dxa"/>
          </w:tcPr>
          <w:p w14:paraId="364E4CA9" w14:textId="77777777" w:rsidR="00271F4E" w:rsidRPr="00BB6456" w:rsidRDefault="00224341" w:rsidP="006D67BD">
            <w:pPr>
              <w:rPr>
                <w:sz w:val="24"/>
                <w:szCs w:val="24"/>
              </w:rPr>
            </w:pPr>
            <w:r>
              <w:rPr>
                <w:sz w:val="24"/>
                <w:szCs w:val="24"/>
              </w:rPr>
              <w:t>741 – 50.4% female and 49.6% male</w:t>
            </w:r>
          </w:p>
        </w:tc>
        <w:tc>
          <w:tcPr>
            <w:tcW w:w="6575" w:type="dxa"/>
          </w:tcPr>
          <w:p w14:paraId="74DFC64F" w14:textId="77777777" w:rsidR="00271F4E" w:rsidRPr="00317F4E" w:rsidRDefault="00271F4E" w:rsidP="00224341">
            <w:pPr>
              <w:rPr>
                <w:color w:val="FF0000"/>
                <w:sz w:val="24"/>
                <w:szCs w:val="24"/>
              </w:rPr>
            </w:pPr>
            <w:r w:rsidRPr="00BB6456">
              <w:rPr>
                <w:sz w:val="24"/>
                <w:szCs w:val="24"/>
              </w:rPr>
              <w:t xml:space="preserve">Our overall workforce has </w:t>
            </w:r>
            <w:r>
              <w:rPr>
                <w:sz w:val="24"/>
                <w:szCs w:val="24"/>
              </w:rPr>
              <w:t>increased</w:t>
            </w:r>
            <w:r w:rsidR="00224341">
              <w:rPr>
                <w:sz w:val="24"/>
                <w:szCs w:val="24"/>
              </w:rPr>
              <w:t>, the increase in the number of male employees meant that the split between male and female is very close to 50%.</w:t>
            </w:r>
          </w:p>
        </w:tc>
      </w:tr>
      <w:tr w:rsidR="00271F4E" w14:paraId="12681E3C" w14:textId="77777777" w:rsidTr="00271F4E">
        <w:tc>
          <w:tcPr>
            <w:tcW w:w="1534" w:type="dxa"/>
          </w:tcPr>
          <w:p w14:paraId="5424B752" w14:textId="77777777" w:rsidR="00271F4E" w:rsidRDefault="00271F4E" w:rsidP="002550B1">
            <w:pPr>
              <w:rPr>
                <w:color w:val="000000" w:themeColor="text1"/>
                <w:sz w:val="24"/>
                <w:szCs w:val="24"/>
              </w:rPr>
            </w:pPr>
            <w:r>
              <w:rPr>
                <w:color w:val="000000" w:themeColor="text1"/>
                <w:sz w:val="24"/>
                <w:szCs w:val="24"/>
              </w:rPr>
              <w:t xml:space="preserve">Mean and median gender pay </w:t>
            </w:r>
            <w:r>
              <w:rPr>
                <w:color w:val="000000" w:themeColor="text1"/>
                <w:sz w:val="24"/>
                <w:szCs w:val="24"/>
              </w:rPr>
              <w:lastRenderedPageBreak/>
              <w:t>gap</w:t>
            </w:r>
          </w:p>
        </w:tc>
        <w:tc>
          <w:tcPr>
            <w:tcW w:w="1893" w:type="dxa"/>
          </w:tcPr>
          <w:p w14:paraId="1F99B1BD" w14:textId="77777777" w:rsidR="00271F4E" w:rsidRDefault="00271F4E" w:rsidP="006D67BD">
            <w:pPr>
              <w:rPr>
                <w:color w:val="000000" w:themeColor="text1"/>
                <w:sz w:val="24"/>
                <w:szCs w:val="24"/>
              </w:rPr>
            </w:pPr>
            <w:r>
              <w:rPr>
                <w:color w:val="000000" w:themeColor="text1"/>
                <w:sz w:val="24"/>
                <w:szCs w:val="24"/>
              </w:rPr>
              <w:lastRenderedPageBreak/>
              <w:t xml:space="preserve">The ordinary pay mean pay gap was 23.66% and </w:t>
            </w:r>
            <w:r>
              <w:rPr>
                <w:color w:val="000000" w:themeColor="text1"/>
                <w:sz w:val="24"/>
                <w:szCs w:val="24"/>
              </w:rPr>
              <w:lastRenderedPageBreak/>
              <w:t>the median pay gap was 14.45%</w:t>
            </w:r>
          </w:p>
        </w:tc>
        <w:tc>
          <w:tcPr>
            <w:tcW w:w="1893" w:type="dxa"/>
          </w:tcPr>
          <w:p w14:paraId="6644572E" w14:textId="77777777" w:rsidR="00271F4E" w:rsidRDefault="00271F4E" w:rsidP="006D67BD">
            <w:pPr>
              <w:rPr>
                <w:color w:val="000000" w:themeColor="text1"/>
                <w:sz w:val="24"/>
                <w:szCs w:val="24"/>
              </w:rPr>
            </w:pPr>
            <w:r>
              <w:rPr>
                <w:color w:val="000000" w:themeColor="text1"/>
                <w:sz w:val="24"/>
                <w:szCs w:val="24"/>
              </w:rPr>
              <w:lastRenderedPageBreak/>
              <w:t xml:space="preserve">The ordinary pay mean pay gap was 17.51% and </w:t>
            </w:r>
            <w:r>
              <w:rPr>
                <w:color w:val="000000" w:themeColor="text1"/>
                <w:sz w:val="24"/>
                <w:szCs w:val="24"/>
              </w:rPr>
              <w:lastRenderedPageBreak/>
              <w:t>the median pay gap was 7.96%</w:t>
            </w:r>
          </w:p>
        </w:tc>
        <w:tc>
          <w:tcPr>
            <w:tcW w:w="2760" w:type="dxa"/>
          </w:tcPr>
          <w:p w14:paraId="66D17067" w14:textId="77777777" w:rsidR="00271F4E" w:rsidRPr="00392639" w:rsidRDefault="00224341" w:rsidP="00224341">
            <w:pPr>
              <w:rPr>
                <w:sz w:val="24"/>
                <w:szCs w:val="24"/>
              </w:rPr>
            </w:pPr>
            <w:r w:rsidRPr="00224341">
              <w:rPr>
                <w:sz w:val="24"/>
                <w:szCs w:val="24"/>
              </w:rPr>
              <w:lastRenderedPageBreak/>
              <w:t xml:space="preserve">The ordinary pay mean pay gap was </w:t>
            </w:r>
            <w:r>
              <w:rPr>
                <w:sz w:val="24"/>
                <w:szCs w:val="24"/>
              </w:rPr>
              <w:t>15.64</w:t>
            </w:r>
            <w:r w:rsidRPr="00224341">
              <w:rPr>
                <w:sz w:val="24"/>
                <w:szCs w:val="24"/>
              </w:rPr>
              <w:t xml:space="preserve">% and the median pay gap was </w:t>
            </w:r>
            <w:r>
              <w:rPr>
                <w:sz w:val="24"/>
                <w:szCs w:val="24"/>
              </w:rPr>
              <w:lastRenderedPageBreak/>
              <w:t>5.66</w:t>
            </w:r>
            <w:r w:rsidRPr="00224341">
              <w:rPr>
                <w:sz w:val="24"/>
                <w:szCs w:val="24"/>
              </w:rPr>
              <w:t>%</w:t>
            </w:r>
          </w:p>
        </w:tc>
        <w:tc>
          <w:tcPr>
            <w:tcW w:w="6575" w:type="dxa"/>
          </w:tcPr>
          <w:p w14:paraId="0BD20074" w14:textId="77777777" w:rsidR="00271F4E" w:rsidRPr="00317F4E" w:rsidRDefault="00224341" w:rsidP="000F2E1C">
            <w:pPr>
              <w:rPr>
                <w:color w:val="FF0000"/>
                <w:sz w:val="24"/>
                <w:szCs w:val="24"/>
              </w:rPr>
            </w:pPr>
            <w:r>
              <w:rPr>
                <w:sz w:val="24"/>
                <w:szCs w:val="24"/>
              </w:rPr>
              <w:lastRenderedPageBreak/>
              <w:t>The</w:t>
            </w:r>
            <w:r w:rsidR="00271F4E">
              <w:rPr>
                <w:sz w:val="24"/>
                <w:szCs w:val="24"/>
              </w:rPr>
              <w:t xml:space="preserve"> </w:t>
            </w:r>
            <w:r w:rsidR="00271F4E" w:rsidRPr="00392639">
              <w:rPr>
                <w:sz w:val="24"/>
                <w:szCs w:val="24"/>
              </w:rPr>
              <w:t xml:space="preserve">ordinary mean pay </w:t>
            </w:r>
            <w:r w:rsidR="00271F4E">
              <w:rPr>
                <w:sz w:val="24"/>
                <w:szCs w:val="24"/>
              </w:rPr>
              <w:t xml:space="preserve">gap and ordinary </w:t>
            </w:r>
            <w:r w:rsidR="00271F4E" w:rsidRPr="00392639">
              <w:rPr>
                <w:sz w:val="24"/>
                <w:szCs w:val="24"/>
              </w:rPr>
              <w:t>median pay gap ha</w:t>
            </w:r>
            <w:r w:rsidR="00271F4E">
              <w:rPr>
                <w:sz w:val="24"/>
                <w:szCs w:val="24"/>
              </w:rPr>
              <w:t>ve both decreased</w:t>
            </w:r>
            <w:r>
              <w:rPr>
                <w:sz w:val="24"/>
                <w:szCs w:val="24"/>
              </w:rPr>
              <w:t xml:space="preserve"> over the last three reporting periods</w:t>
            </w:r>
            <w:r w:rsidR="00271F4E">
              <w:rPr>
                <w:sz w:val="24"/>
                <w:szCs w:val="24"/>
              </w:rPr>
              <w:t xml:space="preserve">. Representing greater equality of representation across the </w:t>
            </w:r>
            <w:r w:rsidR="00271F4E">
              <w:rPr>
                <w:sz w:val="24"/>
                <w:szCs w:val="24"/>
              </w:rPr>
              <w:lastRenderedPageBreak/>
              <w:t>respect pay quartiles.</w:t>
            </w:r>
          </w:p>
        </w:tc>
      </w:tr>
      <w:tr w:rsidR="00271F4E" w14:paraId="50306386" w14:textId="77777777" w:rsidTr="00271F4E">
        <w:tc>
          <w:tcPr>
            <w:tcW w:w="1534" w:type="dxa"/>
          </w:tcPr>
          <w:p w14:paraId="3F5CB133" w14:textId="77777777" w:rsidR="00271F4E" w:rsidRDefault="00271F4E" w:rsidP="002550B1">
            <w:pPr>
              <w:rPr>
                <w:color w:val="000000" w:themeColor="text1"/>
                <w:sz w:val="24"/>
                <w:szCs w:val="24"/>
              </w:rPr>
            </w:pPr>
            <w:r>
              <w:rPr>
                <w:color w:val="000000" w:themeColor="text1"/>
                <w:sz w:val="24"/>
                <w:szCs w:val="24"/>
              </w:rPr>
              <w:lastRenderedPageBreak/>
              <w:t>Mean and median bonus gap</w:t>
            </w:r>
          </w:p>
        </w:tc>
        <w:tc>
          <w:tcPr>
            <w:tcW w:w="1893" w:type="dxa"/>
          </w:tcPr>
          <w:p w14:paraId="6206BD5A" w14:textId="77777777" w:rsidR="00271F4E" w:rsidRDefault="00271F4E" w:rsidP="000F2E1C">
            <w:pPr>
              <w:rPr>
                <w:color w:val="000000" w:themeColor="text1"/>
                <w:sz w:val="24"/>
                <w:szCs w:val="24"/>
              </w:rPr>
            </w:pPr>
            <w:r>
              <w:rPr>
                <w:color w:val="000000" w:themeColor="text1"/>
                <w:sz w:val="24"/>
                <w:szCs w:val="24"/>
              </w:rPr>
              <w:t>The bonus pay mean pay gap was 45.61% and the median pay gap was 54.67%</w:t>
            </w:r>
          </w:p>
        </w:tc>
        <w:tc>
          <w:tcPr>
            <w:tcW w:w="1893" w:type="dxa"/>
          </w:tcPr>
          <w:p w14:paraId="379B1F01" w14:textId="77777777" w:rsidR="00271F4E" w:rsidRDefault="00271F4E" w:rsidP="000F2E1C">
            <w:pPr>
              <w:rPr>
                <w:color w:val="000000" w:themeColor="text1"/>
                <w:sz w:val="24"/>
                <w:szCs w:val="24"/>
              </w:rPr>
            </w:pPr>
            <w:r>
              <w:rPr>
                <w:color w:val="000000" w:themeColor="text1"/>
                <w:sz w:val="24"/>
                <w:szCs w:val="24"/>
              </w:rPr>
              <w:t>The bonus pay mean pay gap was 60.74% and the median pay gap was 53.2%</w:t>
            </w:r>
          </w:p>
        </w:tc>
        <w:tc>
          <w:tcPr>
            <w:tcW w:w="2760" w:type="dxa"/>
          </w:tcPr>
          <w:p w14:paraId="55014620" w14:textId="77777777" w:rsidR="00271F4E" w:rsidRDefault="00224341" w:rsidP="00224341">
            <w:pPr>
              <w:rPr>
                <w:sz w:val="24"/>
                <w:szCs w:val="24"/>
              </w:rPr>
            </w:pPr>
            <w:r w:rsidRPr="00224341">
              <w:rPr>
                <w:sz w:val="24"/>
                <w:szCs w:val="24"/>
              </w:rPr>
              <w:t xml:space="preserve">The bonus pay mean pay gap was </w:t>
            </w:r>
            <w:r>
              <w:rPr>
                <w:sz w:val="24"/>
                <w:szCs w:val="24"/>
              </w:rPr>
              <w:t>26.92</w:t>
            </w:r>
            <w:r w:rsidRPr="00224341">
              <w:rPr>
                <w:sz w:val="24"/>
                <w:szCs w:val="24"/>
              </w:rPr>
              <w:t xml:space="preserve">% and the median pay gap was </w:t>
            </w:r>
            <w:r>
              <w:rPr>
                <w:sz w:val="24"/>
                <w:szCs w:val="24"/>
              </w:rPr>
              <w:t>48.72</w:t>
            </w:r>
            <w:r w:rsidRPr="00224341">
              <w:rPr>
                <w:sz w:val="24"/>
                <w:szCs w:val="24"/>
              </w:rPr>
              <w:t>%</w:t>
            </w:r>
          </w:p>
        </w:tc>
        <w:tc>
          <w:tcPr>
            <w:tcW w:w="6575" w:type="dxa"/>
          </w:tcPr>
          <w:p w14:paraId="2CEC0E85" w14:textId="77777777" w:rsidR="00271F4E" w:rsidRDefault="00730D39" w:rsidP="002550B1">
            <w:pPr>
              <w:rPr>
                <w:sz w:val="24"/>
                <w:szCs w:val="24"/>
              </w:rPr>
            </w:pPr>
            <w:r>
              <w:rPr>
                <w:sz w:val="24"/>
                <w:szCs w:val="24"/>
              </w:rPr>
              <w:t>Both mean and median bonus pay gap have decreased.</w:t>
            </w:r>
          </w:p>
          <w:p w14:paraId="76F5D66F" w14:textId="77777777" w:rsidR="00271F4E" w:rsidRPr="00317F4E" w:rsidRDefault="00271F4E" w:rsidP="002550B1">
            <w:pPr>
              <w:rPr>
                <w:color w:val="FF0000"/>
                <w:sz w:val="24"/>
                <w:szCs w:val="24"/>
              </w:rPr>
            </w:pPr>
          </w:p>
        </w:tc>
      </w:tr>
      <w:tr w:rsidR="00271F4E" w14:paraId="135A0EEC" w14:textId="77777777" w:rsidTr="00271F4E">
        <w:tc>
          <w:tcPr>
            <w:tcW w:w="1534" w:type="dxa"/>
          </w:tcPr>
          <w:p w14:paraId="6B66E79D" w14:textId="77777777" w:rsidR="00271F4E" w:rsidRDefault="00271F4E" w:rsidP="002550B1">
            <w:pPr>
              <w:rPr>
                <w:color w:val="000000" w:themeColor="text1"/>
                <w:sz w:val="24"/>
                <w:szCs w:val="24"/>
              </w:rPr>
            </w:pPr>
            <w:r>
              <w:rPr>
                <w:color w:val="000000" w:themeColor="text1"/>
                <w:sz w:val="24"/>
                <w:szCs w:val="24"/>
              </w:rPr>
              <w:t>Bonus pay</w:t>
            </w:r>
          </w:p>
        </w:tc>
        <w:tc>
          <w:tcPr>
            <w:tcW w:w="1893" w:type="dxa"/>
          </w:tcPr>
          <w:p w14:paraId="65D06D5D" w14:textId="77777777" w:rsidR="00271F4E" w:rsidRDefault="00271F4E" w:rsidP="00C34963">
            <w:pPr>
              <w:rPr>
                <w:color w:val="000000" w:themeColor="text1"/>
                <w:sz w:val="24"/>
                <w:szCs w:val="24"/>
              </w:rPr>
            </w:pPr>
            <w:r>
              <w:rPr>
                <w:color w:val="000000" w:themeColor="text1"/>
                <w:sz w:val="24"/>
                <w:szCs w:val="24"/>
              </w:rPr>
              <w:t>The % of staff receiving a bonus payment was 73% of eligible females and 59% of eligible males. The average payment being £462 versus £850.</w:t>
            </w:r>
          </w:p>
        </w:tc>
        <w:tc>
          <w:tcPr>
            <w:tcW w:w="1893" w:type="dxa"/>
          </w:tcPr>
          <w:p w14:paraId="08008864" w14:textId="77777777" w:rsidR="00271F4E" w:rsidRDefault="00271F4E" w:rsidP="00C34963">
            <w:pPr>
              <w:rPr>
                <w:color w:val="000000" w:themeColor="text1"/>
                <w:sz w:val="24"/>
                <w:szCs w:val="24"/>
              </w:rPr>
            </w:pPr>
            <w:r w:rsidRPr="00C34963">
              <w:rPr>
                <w:color w:val="000000" w:themeColor="text1"/>
                <w:sz w:val="24"/>
                <w:szCs w:val="24"/>
              </w:rPr>
              <w:t>The % of staff receiving a bonus payment was 73% of eligible females and 59% of eligible males. The average payment being £</w:t>
            </w:r>
            <w:r>
              <w:rPr>
                <w:color w:val="000000" w:themeColor="text1"/>
                <w:sz w:val="24"/>
                <w:szCs w:val="24"/>
              </w:rPr>
              <w:t xml:space="preserve">596 </w:t>
            </w:r>
            <w:r w:rsidRPr="00C34963">
              <w:rPr>
                <w:color w:val="000000" w:themeColor="text1"/>
                <w:sz w:val="24"/>
                <w:szCs w:val="24"/>
              </w:rPr>
              <w:t>versus £</w:t>
            </w:r>
            <w:r>
              <w:rPr>
                <w:color w:val="000000" w:themeColor="text1"/>
                <w:sz w:val="24"/>
                <w:szCs w:val="24"/>
              </w:rPr>
              <w:t>1517.</w:t>
            </w:r>
          </w:p>
        </w:tc>
        <w:tc>
          <w:tcPr>
            <w:tcW w:w="2760" w:type="dxa"/>
          </w:tcPr>
          <w:p w14:paraId="177D249F" w14:textId="77777777" w:rsidR="00271F4E" w:rsidRDefault="00730D39" w:rsidP="00730D39">
            <w:pPr>
              <w:rPr>
                <w:sz w:val="24"/>
                <w:szCs w:val="24"/>
              </w:rPr>
            </w:pPr>
            <w:r w:rsidRPr="00730D39">
              <w:rPr>
                <w:sz w:val="24"/>
                <w:szCs w:val="24"/>
              </w:rPr>
              <w:t xml:space="preserve">The % of staff receiving a bonus payment was </w:t>
            </w:r>
            <w:r>
              <w:rPr>
                <w:sz w:val="24"/>
                <w:szCs w:val="24"/>
              </w:rPr>
              <w:t>67</w:t>
            </w:r>
            <w:r w:rsidRPr="00730D39">
              <w:rPr>
                <w:sz w:val="24"/>
                <w:szCs w:val="24"/>
              </w:rPr>
              <w:t xml:space="preserve">% of eligible females and </w:t>
            </w:r>
            <w:r>
              <w:rPr>
                <w:sz w:val="24"/>
                <w:szCs w:val="24"/>
              </w:rPr>
              <w:t>52</w:t>
            </w:r>
            <w:r w:rsidRPr="00730D39">
              <w:rPr>
                <w:sz w:val="24"/>
                <w:szCs w:val="24"/>
              </w:rPr>
              <w:t>% of eligible males. The average payment being £</w:t>
            </w:r>
            <w:r>
              <w:rPr>
                <w:sz w:val="24"/>
                <w:szCs w:val="24"/>
              </w:rPr>
              <w:t>528</w:t>
            </w:r>
            <w:r w:rsidRPr="00730D39">
              <w:rPr>
                <w:sz w:val="24"/>
                <w:szCs w:val="24"/>
              </w:rPr>
              <w:t xml:space="preserve"> versus £</w:t>
            </w:r>
            <w:r>
              <w:rPr>
                <w:sz w:val="24"/>
                <w:szCs w:val="24"/>
              </w:rPr>
              <w:t>723</w:t>
            </w:r>
            <w:r w:rsidRPr="00730D39">
              <w:rPr>
                <w:sz w:val="24"/>
                <w:szCs w:val="24"/>
              </w:rPr>
              <w:t>.</w:t>
            </w:r>
          </w:p>
        </w:tc>
        <w:tc>
          <w:tcPr>
            <w:tcW w:w="6575" w:type="dxa"/>
          </w:tcPr>
          <w:p w14:paraId="36F29565" w14:textId="77777777" w:rsidR="00271F4E" w:rsidRPr="00317F4E" w:rsidRDefault="00271F4E" w:rsidP="00730D39">
            <w:pPr>
              <w:rPr>
                <w:color w:val="FF0000"/>
                <w:sz w:val="24"/>
                <w:szCs w:val="24"/>
              </w:rPr>
            </w:pPr>
            <w:r>
              <w:rPr>
                <w:sz w:val="24"/>
                <w:szCs w:val="24"/>
              </w:rPr>
              <w:t>The removal of the senior management performance scheme in 2019/20 assist</w:t>
            </w:r>
            <w:r w:rsidR="00730D39">
              <w:rPr>
                <w:sz w:val="24"/>
                <w:szCs w:val="24"/>
              </w:rPr>
              <w:t>ed</w:t>
            </w:r>
            <w:r>
              <w:rPr>
                <w:sz w:val="24"/>
                <w:szCs w:val="24"/>
              </w:rPr>
              <w:t xml:space="preserve"> in addressing this in the 2020 Gender Pay report.</w:t>
            </w:r>
          </w:p>
        </w:tc>
      </w:tr>
    </w:tbl>
    <w:p w14:paraId="00FB354D" w14:textId="77777777" w:rsidR="00F610F4" w:rsidRPr="00AF6C53" w:rsidRDefault="00F610F4" w:rsidP="00F610F4">
      <w:pPr>
        <w:jc w:val="both"/>
        <w:rPr>
          <w:color w:val="000000" w:themeColor="text1"/>
          <w:sz w:val="24"/>
          <w:szCs w:val="24"/>
        </w:rPr>
      </w:pPr>
      <w:r w:rsidRPr="008A11E8">
        <w:rPr>
          <w:color w:val="000000" w:themeColor="text1"/>
          <w:sz w:val="24"/>
          <w:szCs w:val="24"/>
        </w:rPr>
        <w:t xml:space="preserve"> </w:t>
      </w:r>
    </w:p>
    <w:p w14:paraId="40387BFA" w14:textId="2DE2268C" w:rsidR="00F610F4" w:rsidRDefault="00F610F4" w:rsidP="00F610F4">
      <w:pPr>
        <w:spacing w:after="0"/>
        <w:rPr>
          <w:b/>
          <w:color w:val="002060"/>
          <w:sz w:val="24"/>
          <w:szCs w:val="24"/>
        </w:rPr>
      </w:pPr>
      <w:r w:rsidRPr="00D34BBD">
        <w:rPr>
          <w:b/>
          <w:color w:val="002060"/>
          <w:sz w:val="24"/>
          <w:szCs w:val="24"/>
        </w:rPr>
        <w:t>Action</w:t>
      </w:r>
      <w:r w:rsidR="001607A1">
        <w:rPr>
          <w:b/>
          <w:color w:val="002060"/>
          <w:sz w:val="24"/>
          <w:szCs w:val="24"/>
        </w:rPr>
        <w:t>s being taken to continue to address and t</w:t>
      </w:r>
      <w:r>
        <w:rPr>
          <w:b/>
          <w:color w:val="002060"/>
          <w:sz w:val="24"/>
          <w:szCs w:val="24"/>
        </w:rPr>
        <w:t>o reduce the pay g</w:t>
      </w:r>
      <w:r w:rsidRPr="00D34BBD">
        <w:rPr>
          <w:b/>
          <w:color w:val="002060"/>
          <w:sz w:val="24"/>
          <w:szCs w:val="24"/>
        </w:rPr>
        <w:t>ap</w:t>
      </w:r>
    </w:p>
    <w:p w14:paraId="7E2C96F3" w14:textId="0FA7DDFE" w:rsidR="003E76A5" w:rsidRDefault="003E76A5" w:rsidP="00F610F4">
      <w:pPr>
        <w:spacing w:after="0"/>
        <w:rPr>
          <w:b/>
          <w:color w:val="002060"/>
          <w:sz w:val="24"/>
          <w:szCs w:val="24"/>
        </w:rPr>
      </w:pPr>
    </w:p>
    <w:p w14:paraId="6BBC015E" w14:textId="31F356C6" w:rsidR="00F610F4" w:rsidRPr="00D229B8" w:rsidRDefault="003E76A5" w:rsidP="00D229B8">
      <w:pPr>
        <w:spacing w:after="0"/>
        <w:jc w:val="both"/>
        <w:rPr>
          <w:bCs/>
          <w:sz w:val="24"/>
          <w:szCs w:val="24"/>
        </w:rPr>
      </w:pPr>
      <w:r w:rsidRPr="00D229B8">
        <w:rPr>
          <w:bCs/>
          <w:sz w:val="24"/>
          <w:szCs w:val="24"/>
        </w:rPr>
        <w:t xml:space="preserve">The company are committed to becoming an accredited real living wage employer and </w:t>
      </w:r>
      <w:r w:rsidR="001607A1" w:rsidRPr="00D229B8">
        <w:rPr>
          <w:bCs/>
          <w:sz w:val="24"/>
          <w:szCs w:val="24"/>
        </w:rPr>
        <w:t xml:space="preserve">we are currently working with the Living Wage Foundation to achieve this status. </w:t>
      </w:r>
      <w:r w:rsidR="00AA6D68" w:rsidRPr="00D229B8">
        <w:rPr>
          <w:bCs/>
          <w:sz w:val="24"/>
          <w:szCs w:val="24"/>
        </w:rPr>
        <w:t>O</w:t>
      </w:r>
      <w:r w:rsidRPr="00D229B8">
        <w:rPr>
          <w:bCs/>
          <w:sz w:val="24"/>
          <w:szCs w:val="24"/>
        </w:rPr>
        <w:t xml:space="preserve">ur 2021 pay award ensured that our entry level </w:t>
      </w:r>
      <w:r w:rsidR="001607A1" w:rsidRPr="00D229B8">
        <w:rPr>
          <w:bCs/>
          <w:sz w:val="24"/>
          <w:szCs w:val="24"/>
        </w:rPr>
        <w:t xml:space="preserve">salary for new employees was significantly more than the current real living wage of £9.50 per hour as set by the independent </w:t>
      </w:r>
      <w:bookmarkStart w:id="1" w:name="_Hlk82419040"/>
      <w:r w:rsidR="001607A1" w:rsidRPr="00D229B8">
        <w:rPr>
          <w:bCs/>
          <w:sz w:val="24"/>
          <w:szCs w:val="24"/>
        </w:rPr>
        <w:t xml:space="preserve">Living Wage Commission </w:t>
      </w:r>
      <w:bookmarkEnd w:id="1"/>
      <w:r w:rsidR="001607A1" w:rsidRPr="00D229B8">
        <w:rPr>
          <w:bCs/>
          <w:sz w:val="24"/>
          <w:szCs w:val="24"/>
        </w:rPr>
        <w:t xml:space="preserve">drawn from Living Wage employers, trade unions, civil </w:t>
      </w:r>
      <w:r w:rsidR="00AA6D68" w:rsidRPr="00D229B8">
        <w:rPr>
          <w:bCs/>
          <w:sz w:val="24"/>
          <w:szCs w:val="24"/>
        </w:rPr>
        <w:t>society,</w:t>
      </w:r>
      <w:r w:rsidR="001607A1" w:rsidRPr="00D229B8">
        <w:rPr>
          <w:bCs/>
          <w:sz w:val="24"/>
          <w:szCs w:val="24"/>
        </w:rPr>
        <w:t xml:space="preserve"> and academics. </w:t>
      </w:r>
      <w:r w:rsidRPr="00D229B8">
        <w:rPr>
          <w:bCs/>
          <w:sz w:val="24"/>
          <w:szCs w:val="24"/>
        </w:rPr>
        <w:t xml:space="preserve">Research has confirmed that </w:t>
      </w:r>
      <w:r w:rsidR="001607A1" w:rsidRPr="00D229B8">
        <w:rPr>
          <w:bCs/>
          <w:sz w:val="24"/>
          <w:szCs w:val="24"/>
        </w:rPr>
        <w:t xml:space="preserve">there are currently 3.3 million jobs in the UK below the Living Wage of which the majority are performed by </w:t>
      </w:r>
      <w:r w:rsidR="00AA6D68" w:rsidRPr="00D229B8">
        <w:rPr>
          <w:bCs/>
          <w:sz w:val="24"/>
          <w:szCs w:val="24"/>
        </w:rPr>
        <w:t>women,</w:t>
      </w:r>
      <w:r w:rsidR="001607A1" w:rsidRPr="00D229B8">
        <w:rPr>
          <w:bCs/>
          <w:sz w:val="24"/>
          <w:szCs w:val="24"/>
        </w:rPr>
        <w:t xml:space="preserve"> so we are tackling not only the gender pay gap within our company but also </w:t>
      </w:r>
      <w:r w:rsidR="00AA6D68" w:rsidRPr="00D229B8">
        <w:rPr>
          <w:bCs/>
          <w:sz w:val="24"/>
          <w:szCs w:val="24"/>
        </w:rPr>
        <w:t xml:space="preserve">nationally. Future pay awards will be made in line with the annual recommendations of the Living Wage Commission and represents a </w:t>
      </w:r>
      <w:r w:rsidR="00D229B8" w:rsidRPr="00D229B8">
        <w:rPr>
          <w:bCs/>
          <w:sz w:val="24"/>
          <w:szCs w:val="24"/>
        </w:rPr>
        <w:t>long-term</w:t>
      </w:r>
      <w:r w:rsidR="00AA6D68" w:rsidRPr="00D229B8">
        <w:rPr>
          <w:bCs/>
          <w:sz w:val="24"/>
          <w:szCs w:val="24"/>
        </w:rPr>
        <w:t xml:space="preserve"> commitment and investment in ensuring pay equality.</w:t>
      </w:r>
    </w:p>
    <w:p w14:paraId="4E0805C1" w14:textId="77777777" w:rsidR="0028599C" w:rsidRDefault="0028599C" w:rsidP="00F610F4">
      <w:pPr>
        <w:spacing w:after="0"/>
        <w:rPr>
          <w:b/>
          <w:color w:val="17365D" w:themeColor="text2" w:themeShade="BF"/>
          <w:sz w:val="24"/>
          <w:szCs w:val="24"/>
        </w:rPr>
      </w:pPr>
      <w:bookmarkStart w:id="2" w:name="_Hlk82419818"/>
    </w:p>
    <w:p w14:paraId="268D55AE" w14:textId="04DDDA30" w:rsidR="00F610F4" w:rsidRPr="000F2E1C" w:rsidRDefault="00F610F4" w:rsidP="00F610F4">
      <w:pPr>
        <w:spacing w:after="0"/>
        <w:rPr>
          <w:b/>
          <w:color w:val="17365D" w:themeColor="text2" w:themeShade="BF"/>
          <w:sz w:val="24"/>
          <w:szCs w:val="24"/>
        </w:rPr>
      </w:pPr>
      <w:r w:rsidRPr="000F2E1C">
        <w:rPr>
          <w:b/>
          <w:color w:val="17365D" w:themeColor="text2" w:themeShade="BF"/>
          <w:sz w:val="24"/>
          <w:szCs w:val="24"/>
        </w:rPr>
        <w:lastRenderedPageBreak/>
        <w:t>Training</w:t>
      </w:r>
    </w:p>
    <w:bookmarkEnd w:id="2"/>
    <w:p w14:paraId="171CC8A8" w14:textId="77777777" w:rsidR="00F610F4" w:rsidRDefault="00F610F4" w:rsidP="00F610F4">
      <w:pPr>
        <w:spacing w:after="0"/>
        <w:rPr>
          <w:b/>
          <w:color w:val="002060"/>
          <w:sz w:val="24"/>
          <w:szCs w:val="24"/>
        </w:rPr>
      </w:pPr>
    </w:p>
    <w:p w14:paraId="464AA3B5" w14:textId="11822D47" w:rsidR="00F610F4" w:rsidRDefault="00F610F4" w:rsidP="00F610F4">
      <w:pPr>
        <w:spacing w:after="0"/>
        <w:jc w:val="both"/>
        <w:rPr>
          <w:sz w:val="24"/>
          <w:szCs w:val="24"/>
        </w:rPr>
      </w:pPr>
      <w:r>
        <w:rPr>
          <w:sz w:val="24"/>
          <w:szCs w:val="24"/>
        </w:rPr>
        <w:t xml:space="preserve">General awareness of diversity and inclusion is a key theme in the </w:t>
      </w:r>
      <w:r w:rsidR="000F2E1C">
        <w:rPr>
          <w:sz w:val="24"/>
          <w:szCs w:val="24"/>
        </w:rPr>
        <w:t xml:space="preserve">Workforce </w:t>
      </w:r>
      <w:r>
        <w:rPr>
          <w:sz w:val="24"/>
          <w:szCs w:val="24"/>
        </w:rPr>
        <w:t>Strategy</w:t>
      </w:r>
      <w:r w:rsidR="000F2E1C">
        <w:rPr>
          <w:sz w:val="24"/>
          <w:szCs w:val="24"/>
        </w:rPr>
        <w:t>.</w:t>
      </w:r>
      <w:r>
        <w:rPr>
          <w:sz w:val="24"/>
          <w:szCs w:val="24"/>
        </w:rPr>
        <w:t xml:space="preserve"> Diversity and inclusion general awareness and is covered in induction training as well as different bitesize training sessions the workforce team offer.  </w:t>
      </w:r>
      <w:r w:rsidR="000F2E1C">
        <w:rPr>
          <w:sz w:val="24"/>
          <w:szCs w:val="24"/>
        </w:rPr>
        <w:t xml:space="preserve">An </w:t>
      </w:r>
      <w:r>
        <w:rPr>
          <w:sz w:val="24"/>
          <w:szCs w:val="24"/>
        </w:rPr>
        <w:t>infographic w</w:t>
      </w:r>
      <w:r w:rsidR="000F2E1C">
        <w:rPr>
          <w:sz w:val="24"/>
          <w:szCs w:val="24"/>
        </w:rPr>
        <w:t xml:space="preserve">ill be </w:t>
      </w:r>
      <w:r>
        <w:rPr>
          <w:sz w:val="24"/>
          <w:szCs w:val="24"/>
        </w:rPr>
        <w:t>published to raise awareness of our gender pay gap</w:t>
      </w:r>
      <w:r w:rsidR="000F2E1C">
        <w:rPr>
          <w:sz w:val="24"/>
          <w:szCs w:val="24"/>
        </w:rPr>
        <w:t xml:space="preserve">. </w:t>
      </w:r>
      <w:r>
        <w:rPr>
          <w:sz w:val="24"/>
          <w:szCs w:val="24"/>
        </w:rPr>
        <w:t xml:space="preserve">We are confident that training opportunities are open to all employees and </w:t>
      </w:r>
      <w:r w:rsidR="0099743A">
        <w:rPr>
          <w:sz w:val="24"/>
          <w:szCs w:val="24"/>
        </w:rPr>
        <w:t>are actively promoted.</w:t>
      </w:r>
      <w:r>
        <w:rPr>
          <w:sz w:val="24"/>
          <w:szCs w:val="24"/>
        </w:rPr>
        <w:t xml:space="preserve"> </w:t>
      </w:r>
    </w:p>
    <w:p w14:paraId="4A0FB0CB" w14:textId="5F54A618" w:rsidR="00AA6D68" w:rsidRDefault="00AA6D68" w:rsidP="00F610F4">
      <w:pPr>
        <w:spacing w:after="0"/>
        <w:jc w:val="both"/>
        <w:rPr>
          <w:sz w:val="24"/>
          <w:szCs w:val="24"/>
        </w:rPr>
      </w:pPr>
    </w:p>
    <w:p w14:paraId="16F10CBD" w14:textId="3C15A11A" w:rsidR="00D229B8" w:rsidRPr="000F2E1C" w:rsidRDefault="00D229B8" w:rsidP="00D229B8">
      <w:pPr>
        <w:spacing w:after="0"/>
        <w:rPr>
          <w:b/>
          <w:color w:val="17365D" w:themeColor="text2" w:themeShade="BF"/>
          <w:sz w:val="24"/>
          <w:szCs w:val="24"/>
        </w:rPr>
      </w:pPr>
      <w:r>
        <w:rPr>
          <w:b/>
          <w:color w:val="17365D" w:themeColor="text2" w:themeShade="BF"/>
          <w:sz w:val="24"/>
          <w:szCs w:val="24"/>
        </w:rPr>
        <w:t>Company Values</w:t>
      </w:r>
    </w:p>
    <w:p w14:paraId="75FB94E1" w14:textId="77777777" w:rsidR="00D229B8" w:rsidRDefault="00D229B8" w:rsidP="00F610F4">
      <w:pPr>
        <w:spacing w:after="0"/>
        <w:jc w:val="both"/>
        <w:rPr>
          <w:sz w:val="24"/>
          <w:szCs w:val="24"/>
        </w:rPr>
      </w:pPr>
    </w:p>
    <w:p w14:paraId="5D9DE271" w14:textId="102BEFC9" w:rsidR="00D229B8" w:rsidRPr="00D229B8" w:rsidRDefault="00AA6D68" w:rsidP="00D229B8">
      <w:pPr>
        <w:spacing w:after="0"/>
        <w:jc w:val="both"/>
        <w:rPr>
          <w:sz w:val="24"/>
          <w:szCs w:val="24"/>
        </w:rPr>
      </w:pPr>
      <w:r>
        <w:rPr>
          <w:sz w:val="24"/>
          <w:szCs w:val="24"/>
        </w:rPr>
        <w:t xml:space="preserve">We have also undertaken a relaunch </w:t>
      </w:r>
      <w:r w:rsidR="00D229B8">
        <w:rPr>
          <w:sz w:val="24"/>
          <w:szCs w:val="24"/>
        </w:rPr>
        <w:t xml:space="preserve">of </w:t>
      </w:r>
      <w:r>
        <w:rPr>
          <w:sz w:val="24"/>
          <w:szCs w:val="24"/>
        </w:rPr>
        <w:t xml:space="preserve">our </w:t>
      </w:r>
      <w:r w:rsidR="00D229B8" w:rsidRPr="00D229B8">
        <w:rPr>
          <w:sz w:val="24"/>
          <w:szCs w:val="24"/>
        </w:rPr>
        <w:t xml:space="preserve">guiding principles </w:t>
      </w:r>
      <w:r w:rsidR="00D229B8">
        <w:rPr>
          <w:sz w:val="24"/>
          <w:szCs w:val="24"/>
        </w:rPr>
        <w:t xml:space="preserve">and </w:t>
      </w:r>
      <w:r>
        <w:rPr>
          <w:sz w:val="24"/>
          <w:szCs w:val="24"/>
        </w:rPr>
        <w:t xml:space="preserve">company values </w:t>
      </w:r>
      <w:r w:rsidR="00D229B8">
        <w:rPr>
          <w:sz w:val="24"/>
          <w:szCs w:val="24"/>
        </w:rPr>
        <w:t>to further enhance our</w:t>
      </w:r>
      <w:r w:rsidR="00D229B8" w:rsidRPr="00D229B8">
        <w:rPr>
          <w:sz w:val="24"/>
          <w:szCs w:val="24"/>
        </w:rPr>
        <w:t xml:space="preserve"> compassionate and inclusive people culture that promotes equality, diversity and inclusion and is reflective of the communities we serve.</w:t>
      </w:r>
    </w:p>
    <w:p w14:paraId="387725F4" w14:textId="77777777" w:rsidR="00F610F4" w:rsidRDefault="00F610F4" w:rsidP="0045759D">
      <w:pPr>
        <w:spacing w:after="0" w:line="240" w:lineRule="auto"/>
        <w:rPr>
          <w:sz w:val="24"/>
          <w:szCs w:val="24"/>
        </w:rPr>
      </w:pPr>
    </w:p>
    <w:p w14:paraId="4DF7DB41" w14:textId="116B86B2" w:rsidR="006C17B5" w:rsidRPr="00D229B8" w:rsidRDefault="006C17B5" w:rsidP="0045759D">
      <w:pPr>
        <w:spacing w:after="0" w:line="240" w:lineRule="auto"/>
        <w:rPr>
          <w:rFonts w:eastAsia="Times New Roman" w:cs="Arial"/>
          <w:b/>
          <w:color w:val="002060"/>
          <w:sz w:val="24"/>
          <w:szCs w:val="24"/>
          <w:lang w:val="en-US"/>
        </w:rPr>
      </w:pPr>
      <w:r w:rsidRPr="00D229B8">
        <w:rPr>
          <w:rFonts w:eastAsia="Times New Roman" w:cs="Arial"/>
          <w:b/>
          <w:color w:val="002060"/>
          <w:sz w:val="24"/>
          <w:szCs w:val="24"/>
          <w:lang w:val="en-US"/>
        </w:rPr>
        <w:t>Statement</w:t>
      </w:r>
    </w:p>
    <w:p w14:paraId="651B200C" w14:textId="77777777" w:rsidR="00AA6D68" w:rsidRPr="00B457F2" w:rsidRDefault="00AA6D68" w:rsidP="0045759D">
      <w:pPr>
        <w:spacing w:after="0" w:line="240" w:lineRule="auto"/>
        <w:rPr>
          <w:rFonts w:eastAsia="Times New Roman" w:cs="Arial"/>
          <w:b/>
          <w:color w:val="002060"/>
          <w:sz w:val="26"/>
          <w:szCs w:val="26"/>
          <w:u w:val="single"/>
          <w:lang w:val="en-US"/>
        </w:rPr>
      </w:pPr>
    </w:p>
    <w:p w14:paraId="38A32FBF" w14:textId="5CA94DD7" w:rsidR="006C17B5" w:rsidRDefault="006C17B5" w:rsidP="006C17B5">
      <w:pPr>
        <w:rPr>
          <w:sz w:val="24"/>
          <w:szCs w:val="24"/>
        </w:rPr>
      </w:pPr>
      <w:r w:rsidRPr="00FD7F21">
        <w:rPr>
          <w:sz w:val="24"/>
          <w:szCs w:val="24"/>
        </w:rPr>
        <w:t xml:space="preserve">I confirm </w:t>
      </w:r>
      <w:r w:rsidR="00D17054">
        <w:rPr>
          <w:sz w:val="24"/>
          <w:szCs w:val="24"/>
        </w:rPr>
        <w:t>QE</w:t>
      </w:r>
      <w:r w:rsidR="00E96DA2">
        <w:rPr>
          <w:sz w:val="24"/>
          <w:szCs w:val="24"/>
        </w:rPr>
        <w:t xml:space="preserve"> </w:t>
      </w:r>
      <w:r w:rsidR="00D17054">
        <w:rPr>
          <w:sz w:val="24"/>
          <w:szCs w:val="24"/>
        </w:rPr>
        <w:t>F</w:t>
      </w:r>
      <w:r w:rsidR="00E96DA2">
        <w:rPr>
          <w:sz w:val="24"/>
          <w:szCs w:val="24"/>
        </w:rPr>
        <w:t>acilities Ltd</w:t>
      </w:r>
      <w:r w:rsidRPr="00FD7F21">
        <w:rPr>
          <w:sz w:val="24"/>
          <w:szCs w:val="24"/>
        </w:rPr>
        <w:t xml:space="preserve"> is committed to the principle of gender pay eq</w:t>
      </w:r>
      <w:r w:rsidR="00AC3C11">
        <w:rPr>
          <w:sz w:val="24"/>
          <w:szCs w:val="24"/>
        </w:rPr>
        <w:t>uality and has prepared its 20</w:t>
      </w:r>
      <w:r w:rsidR="00271F4E">
        <w:rPr>
          <w:sz w:val="24"/>
          <w:szCs w:val="24"/>
        </w:rPr>
        <w:t>20</w:t>
      </w:r>
      <w:r w:rsidRPr="00FD7F21">
        <w:rPr>
          <w:sz w:val="24"/>
          <w:szCs w:val="24"/>
        </w:rPr>
        <w:t xml:space="preserve"> gender pay gap results in line with mandatory requirements.</w:t>
      </w:r>
    </w:p>
    <w:p w14:paraId="5B40D372" w14:textId="4FEA03DB" w:rsidR="00AA6D68" w:rsidRDefault="00AA6D68" w:rsidP="00AA6D68">
      <w:pPr>
        <w:pStyle w:val="NoSpacing"/>
      </w:pPr>
      <w:r>
        <w:t>Yours faithfully</w:t>
      </w:r>
    </w:p>
    <w:p w14:paraId="661C1702" w14:textId="5FA2CCDE" w:rsidR="00AA6D68" w:rsidRDefault="00AA6D68" w:rsidP="00AA6D68">
      <w:pPr>
        <w:pStyle w:val="NoSpacing"/>
      </w:pPr>
      <w:r>
        <w:t>On Behalf of QE Facilities Ltd.</w:t>
      </w:r>
    </w:p>
    <w:p w14:paraId="039A4AAD" w14:textId="512F8326" w:rsidR="00AA6D68" w:rsidRDefault="00AA6D68" w:rsidP="00AA6D68">
      <w:pPr>
        <w:pStyle w:val="NoSpacing"/>
      </w:pPr>
    </w:p>
    <w:p w14:paraId="26C71A67" w14:textId="3F4CB3D7" w:rsidR="00AA6D68" w:rsidRDefault="00AA6D68" w:rsidP="00AA6D68">
      <w:pPr>
        <w:pStyle w:val="NoSpacing"/>
      </w:pPr>
    </w:p>
    <w:p w14:paraId="7C9C1173" w14:textId="3D8C417F" w:rsidR="00AA6D68" w:rsidRDefault="006C786A" w:rsidP="00AA6D68">
      <w:pPr>
        <w:pStyle w:val="NoSpacing"/>
      </w:pPr>
      <w:r>
        <w:rPr>
          <w:noProof/>
          <w:lang w:val="en-GB" w:eastAsia="en-GB"/>
        </w:rPr>
        <w:drawing>
          <wp:inline distT="0" distB="0" distL="0" distR="0" wp14:anchorId="48B98BF0" wp14:editId="113A581F">
            <wp:extent cx="1336675" cy="544830"/>
            <wp:effectExtent l="0" t="0" r="0" b="7620"/>
            <wp:docPr id="4" name="Picture 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6675" cy="544830"/>
                    </a:xfrm>
                    <a:prstGeom prst="rect">
                      <a:avLst/>
                    </a:prstGeom>
                    <a:noFill/>
                    <a:ln>
                      <a:noFill/>
                    </a:ln>
                  </pic:spPr>
                </pic:pic>
              </a:graphicData>
            </a:graphic>
          </wp:inline>
        </w:drawing>
      </w:r>
    </w:p>
    <w:p w14:paraId="2DDB6FF7" w14:textId="566333CA" w:rsidR="00AA6D68" w:rsidRDefault="00AA6D68" w:rsidP="00AA6D68">
      <w:pPr>
        <w:pStyle w:val="NoSpacing"/>
      </w:pPr>
    </w:p>
    <w:p w14:paraId="36C6BD27" w14:textId="038D65BE" w:rsidR="00AA6D68" w:rsidRDefault="00AA6D68" w:rsidP="00AA6D68">
      <w:pPr>
        <w:pStyle w:val="NoSpacing"/>
      </w:pPr>
      <w:r>
        <w:t>Anthony Robson</w:t>
      </w:r>
    </w:p>
    <w:p w14:paraId="6284D09C" w14:textId="5B01D26C" w:rsidR="00AA6D68" w:rsidRDefault="00AA6D68" w:rsidP="00AA6D68">
      <w:pPr>
        <w:pStyle w:val="NoSpacing"/>
        <w:rPr>
          <w:b/>
          <w:bCs/>
          <w:u w:val="single"/>
        </w:rPr>
      </w:pPr>
      <w:r w:rsidRPr="00AA6D68">
        <w:rPr>
          <w:b/>
          <w:bCs/>
          <w:u w:val="single"/>
        </w:rPr>
        <w:t>Managing Director</w:t>
      </w:r>
    </w:p>
    <w:p w14:paraId="6FF2540B" w14:textId="77777777" w:rsidR="00D229B8" w:rsidRPr="00AA6D68" w:rsidRDefault="00D229B8" w:rsidP="00AA6D68">
      <w:pPr>
        <w:pStyle w:val="NoSpacing"/>
        <w:rPr>
          <w:b/>
          <w:bCs/>
          <w:u w:val="single"/>
        </w:rPr>
      </w:pPr>
    </w:p>
    <w:p w14:paraId="450426CB" w14:textId="77777777" w:rsidR="00E813F5" w:rsidRDefault="00E813F5" w:rsidP="008F5B87">
      <w:pPr>
        <w:rPr>
          <w:sz w:val="20"/>
          <w:szCs w:val="20"/>
        </w:rPr>
      </w:pPr>
      <w:r w:rsidRPr="00E813F5">
        <w:rPr>
          <w:sz w:val="20"/>
          <w:szCs w:val="20"/>
        </w:rPr>
        <w:t xml:space="preserve">The gender pay gap report data has been produced using the national NHS tool – a set of reports available through the Electronic Staff Record Programme. </w:t>
      </w:r>
    </w:p>
    <w:p w14:paraId="4B511CBA" w14:textId="77777777" w:rsidR="008F5B87" w:rsidRPr="008A65B6" w:rsidRDefault="008F5B87" w:rsidP="008F5B87">
      <w:pPr>
        <w:rPr>
          <w:b/>
          <w:sz w:val="20"/>
          <w:szCs w:val="20"/>
        </w:rPr>
      </w:pPr>
      <w:r w:rsidRPr="008A65B6">
        <w:rPr>
          <w:sz w:val="20"/>
          <w:szCs w:val="20"/>
        </w:rPr>
        <w:lastRenderedPageBreak/>
        <w:t>If you require a copy of this report in a different format please contact our HR Service Provider Gateshea</w:t>
      </w:r>
      <w:r w:rsidR="006870E9">
        <w:rPr>
          <w:sz w:val="20"/>
          <w:szCs w:val="20"/>
        </w:rPr>
        <w:t xml:space="preserve">d Health NHS Foundation Trust, </w:t>
      </w:r>
      <w:r w:rsidRPr="008A65B6">
        <w:rPr>
          <w:sz w:val="20"/>
          <w:szCs w:val="20"/>
        </w:rPr>
        <w:t xml:space="preserve">via the Workforce Department, Bensham Hospital, Gateshead, NE8 4YL or telephone  0191 445 5428 or email </w:t>
      </w:r>
      <w:hyperlink r:id="rId24" w:history="1">
        <w:r w:rsidRPr="008A65B6">
          <w:rPr>
            <w:rStyle w:val="Hyperlink"/>
            <w:sz w:val="20"/>
            <w:szCs w:val="20"/>
          </w:rPr>
          <w:t>ghnt.hr@nhs.net</w:t>
        </w:r>
      </w:hyperlink>
    </w:p>
    <w:sectPr w:rsidR="008F5B87" w:rsidRPr="008A65B6" w:rsidSect="000C0BDF">
      <w:footerReference w:type="default" r:id="rId25"/>
      <w:pgSz w:w="16838" w:h="11906" w:orient="landscape"/>
      <w:pgMar w:top="1440" w:right="85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BE383" w14:textId="77777777" w:rsidR="003E233D" w:rsidRDefault="003E233D" w:rsidP="000C0711">
      <w:pPr>
        <w:spacing w:after="0" w:line="240" w:lineRule="auto"/>
      </w:pPr>
      <w:r>
        <w:separator/>
      </w:r>
    </w:p>
  </w:endnote>
  <w:endnote w:type="continuationSeparator" w:id="0">
    <w:p w14:paraId="168E062E" w14:textId="77777777" w:rsidR="003E233D" w:rsidRDefault="003E233D" w:rsidP="000C0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Gotham Bold"/>
    <w:panose1 w:val="00000000000000000000"/>
    <w:charset w:val="00"/>
    <w:family w:val="swiss"/>
    <w:notTrueType/>
    <w:pitch w:val="default"/>
    <w:sig w:usb0="00000003" w:usb1="00000000" w:usb2="00000000" w:usb3="00000000" w:csb0="00000001" w:csb1="00000000"/>
  </w:font>
  <w:font w:name="Freestyle Script">
    <w:altName w:val="Freestyle Script"/>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726375329"/>
      <w:docPartObj>
        <w:docPartGallery w:val="Page Numbers (Bottom of Page)"/>
        <w:docPartUnique/>
      </w:docPartObj>
    </w:sdtPr>
    <w:sdtEndPr>
      <w:rPr>
        <w:noProof/>
      </w:rPr>
    </w:sdtEndPr>
    <w:sdtContent>
      <w:p w14:paraId="602A9718" w14:textId="77777777" w:rsidR="00896AE0" w:rsidRPr="00C025B0" w:rsidRDefault="00896AE0">
        <w:pPr>
          <w:pStyle w:val="Footer"/>
          <w:jc w:val="right"/>
          <w:rPr>
            <w:sz w:val="24"/>
            <w:szCs w:val="24"/>
          </w:rPr>
        </w:pPr>
        <w:r w:rsidRPr="00C025B0">
          <w:rPr>
            <w:sz w:val="24"/>
            <w:szCs w:val="24"/>
          </w:rPr>
          <w:fldChar w:fldCharType="begin"/>
        </w:r>
        <w:r w:rsidRPr="00C025B0">
          <w:rPr>
            <w:sz w:val="24"/>
            <w:szCs w:val="24"/>
          </w:rPr>
          <w:instrText xml:space="preserve"> PAGE   \* MERGEFORMAT </w:instrText>
        </w:r>
        <w:r w:rsidRPr="00C025B0">
          <w:rPr>
            <w:sz w:val="24"/>
            <w:szCs w:val="24"/>
          </w:rPr>
          <w:fldChar w:fldCharType="separate"/>
        </w:r>
        <w:r w:rsidR="006B3E83">
          <w:rPr>
            <w:noProof/>
            <w:sz w:val="24"/>
            <w:szCs w:val="24"/>
          </w:rPr>
          <w:t>5</w:t>
        </w:r>
        <w:r w:rsidRPr="00C025B0">
          <w:rPr>
            <w:noProof/>
            <w:sz w:val="24"/>
            <w:szCs w:val="24"/>
          </w:rPr>
          <w:fldChar w:fldCharType="end"/>
        </w:r>
      </w:p>
    </w:sdtContent>
  </w:sdt>
  <w:p w14:paraId="5CF355CC" w14:textId="77777777" w:rsidR="00896AE0" w:rsidRDefault="00896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69537" w14:textId="77777777" w:rsidR="003E233D" w:rsidRDefault="003E233D" w:rsidP="000C0711">
      <w:pPr>
        <w:spacing w:after="0" w:line="240" w:lineRule="auto"/>
      </w:pPr>
      <w:r>
        <w:separator/>
      </w:r>
    </w:p>
  </w:footnote>
  <w:footnote w:type="continuationSeparator" w:id="0">
    <w:p w14:paraId="479C8C11" w14:textId="77777777" w:rsidR="003E233D" w:rsidRDefault="003E233D" w:rsidP="000C0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48E"/>
    <w:multiLevelType w:val="multilevel"/>
    <w:tmpl w:val="2CBEC41C"/>
    <w:lvl w:ilvl="0">
      <w:start w:val="1"/>
      <w:numFmt w:val="bullet"/>
      <w:lvlText w:val=""/>
      <w:lvlJc w:val="left"/>
      <w:pPr>
        <w:ind w:left="1800" w:hanging="360"/>
      </w:pPr>
      <w:rPr>
        <w:rFonts w:ascii="Symbol" w:hAnsi="Symbol"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
    <w:nsid w:val="038B22CD"/>
    <w:multiLevelType w:val="hybridMultilevel"/>
    <w:tmpl w:val="8818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A0F5C"/>
    <w:multiLevelType w:val="hybridMultilevel"/>
    <w:tmpl w:val="7A688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817B04"/>
    <w:multiLevelType w:val="hybridMultilevel"/>
    <w:tmpl w:val="682A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0C6297"/>
    <w:multiLevelType w:val="hybridMultilevel"/>
    <w:tmpl w:val="0730F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6E61A4"/>
    <w:multiLevelType w:val="hybridMultilevel"/>
    <w:tmpl w:val="5B78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0C0C519A"/>
    <w:multiLevelType w:val="hybridMultilevel"/>
    <w:tmpl w:val="98D0CB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6A72B74"/>
    <w:multiLevelType w:val="hybridMultilevel"/>
    <w:tmpl w:val="5486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8B49E3"/>
    <w:multiLevelType w:val="hybridMultilevel"/>
    <w:tmpl w:val="0494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705F1B"/>
    <w:multiLevelType w:val="hybridMultilevel"/>
    <w:tmpl w:val="8D325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37B6B5E"/>
    <w:multiLevelType w:val="hybridMultilevel"/>
    <w:tmpl w:val="63424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CE527D"/>
    <w:multiLevelType w:val="hybridMultilevel"/>
    <w:tmpl w:val="93EC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BB20DB"/>
    <w:multiLevelType w:val="hybridMultilevel"/>
    <w:tmpl w:val="6DF0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AD3ED3"/>
    <w:multiLevelType w:val="hybridMultilevel"/>
    <w:tmpl w:val="C128B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4AA2C3E"/>
    <w:multiLevelType w:val="hybridMultilevel"/>
    <w:tmpl w:val="3858E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37BB31D1"/>
    <w:multiLevelType w:val="hybridMultilevel"/>
    <w:tmpl w:val="D040B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BB4DA9"/>
    <w:multiLevelType w:val="hybridMultilevel"/>
    <w:tmpl w:val="3836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0F34C5"/>
    <w:multiLevelType w:val="hybridMultilevel"/>
    <w:tmpl w:val="7286F0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3F11436C"/>
    <w:multiLevelType w:val="hybridMultilevel"/>
    <w:tmpl w:val="A9887A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7008C8"/>
    <w:multiLevelType w:val="hybridMultilevel"/>
    <w:tmpl w:val="142A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BB0F43"/>
    <w:multiLevelType w:val="hybridMultilevel"/>
    <w:tmpl w:val="595C8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BA36B7B"/>
    <w:multiLevelType w:val="hybridMultilevel"/>
    <w:tmpl w:val="CA4EC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7C0974"/>
    <w:multiLevelType w:val="hybridMultilevel"/>
    <w:tmpl w:val="A5BEF1C6"/>
    <w:lvl w:ilvl="0" w:tplc="08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26833FC"/>
    <w:multiLevelType w:val="hybridMultilevel"/>
    <w:tmpl w:val="19DC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0E5AF6"/>
    <w:multiLevelType w:val="hybridMultilevel"/>
    <w:tmpl w:val="A50E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620687"/>
    <w:multiLevelType w:val="hybridMultilevel"/>
    <w:tmpl w:val="709A3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596B57"/>
    <w:multiLevelType w:val="hybridMultilevel"/>
    <w:tmpl w:val="2FC6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1F7825"/>
    <w:multiLevelType w:val="hybridMultilevel"/>
    <w:tmpl w:val="E41A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E995D55"/>
    <w:multiLevelType w:val="hybridMultilevel"/>
    <w:tmpl w:val="C2D4F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4E4805"/>
    <w:multiLevelType w:val="multilevel"/>
    <w:tmpl w:val="3CD06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985955"/>
    <w:multiLevelType w:val="hybridMultilevel"/>
    <w:tmpl w:val="98547C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EF061B"/>
    <w:multiLevelType w:val="hybridMultilevel"/>
    <w:tmpl w:val="66B45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1"/>
  </w:num>
  <w:num w:numId="3">
    <w:abstractNumId w:val="31"/>
  </w:num>
  <w:num w:numId="4">
    <w:abstractNumId w:val="1"/>
  </w:num>
  <w:num w:numId="5">
    <w:abstractNumId w:val="26"/>
  </w:num>
  <w:num w:numId="6">
    <w:abstractNumId w:val="8"/>
  </w:num>
  <w:num w:numId="7">
    <w:abstractNumId w:val="6"/>
  </w:num>
  <w:num w:numId="8">
    <w:abstractNumId w:val="0"/>
  </w:num>
  <w:num w:numId="9">
    <w:abstractNumId w:val="7"/>
  </w:num>
  <w:num w:numId="10">
    <w:abstractNumId w:val="11"/>
  </w:num>
  <w:num w:numId="11">
    <w:abstractNumId w:val="10"/>
  </w:num>
  <w:num w:numId="12">
    <w:abstractNumId w:val="24"/>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25"/>
  </w:num>
  <w:num w:numId="15">
    <w:abstractNumId w:val="28"/>
  </w:num>
  <w:num w:numId="16">
    <w:abstractNumId w:val="20"/>
  </w:num>
  <w:num w:numId="17">
    <w:abstractNumId w:val="4"/>
  </w:num>
  <w:num w:numId="18">
    <w:abstractNumId w:val="27"/>
  </w:num>
  <w:num w:numId="19">
    <w:abstractNumId w:val="15"/>
  </w:num>
  <w:num w:numId="20">
    <w:abstractNumId w:val="16"/>
  </w:num>
  <w:num w:numId="21">
    <w:abstractNumId w:val="9"/>
  </w:num>
  <w:num w:numId="22">
    <w:abstractNumId w:val="30"/>
  </w:num>
  <w:num w:numId="23">
    <w:abstractNumId w:val="22"/>
  </w:num>
  <w:num w:numId="24">
    <w:abstractNumId w:val="29"/>
  </w:num>
  <w:num w:numId="25">
    <w:abstractNumId w:val="3"/>
  </w:num>
  <w:num w:numId="26">
    <w:abstractNumId w:val="17"/>
  </w:num>
  <w:num w:numId="27">
    <w:abstractNumId w:val="19"/>
  </w:num>
  <w:num w:numId="28">
    <w:abstractNumId w:val="23"/>
  </w:num>
  <w:num w:numId="29">
    <w:abstractNumId w:val="12"/>
  </w:num>
  <w:num w:numId="30">
    <w:abstractNumId w:val="14"/>
  </w:num>
  <w:num w:numId="31">
    <w:abstractNumId w:val="1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E0"/>
    <w:rsid w:val="00004849"/>
    <w:rsid w:val="00016325"/>
    <w:rsid w:val="00016F29"/>
    <w:rsid w:val="000255ED"/>
    <w:rsid w:val="000478A0"/>
    <w:rsid w:val="000500EA"/>
    <w:rsid w:val="00051241"/>
    <w:rsid w:val="00051744"/>
    <w:rsid w:val="00057570"/>
    <w:rsid w:val="00067039"/>
    <w:rsid w:val="000725B1"/>
    <w:rsid w:val="00075CA9"/>
    <w:rsid w:val="00076416"/>
    <w:rsid w:val="0009753F"/>
    <w:rsid w:val="000B2F79"/>
    <w:rsid w:val="000C0711"/>
    <w:rsid w:val="000C0BDF"/>
    <w:rsid w:val="000C1296"/>
    <w:rsid w:val="000C37C9"/>
    <w:rsid w:val="000C4B87"/>
    <w:rsid w:val="000C5AF4"/>
    <w:rsid w:val="000C6EC4"/>
    <w:rsid w:val="000D011F"/>
    <w:rsid w:val="000D3EFC"/>
    <w:rsid w:val="000D7452"/>
    <w:rsid w:val="000E6409"/>
    <w:rsid w:val="000F1E6F"/>
    <w:rsid w:val="000F2E1C"/>
    <w:rsid w:val="00123FE0"/>
    <w:rsid w:val="00135297"/>
    <w:rsid w:val="00135FA8"/>
    <w:rsid w:val="0014648A"/>
    <w:rsid w:val="0015143C"/>
    <w:rsid w:val="0015267A"/>
    <w:rsid w:val="00154BD1"/>
    <w:rsid w:val="00156795"/>
    <w:rsid w:val="001607A1"/>
    <w:rsid w:val="0016089A"/>
    <w:rsid w:val="00164125"/>
    <w:rsid w:val="00170CFA"/>
    <w:rsid w:val="00182B5D"/>
    <w:rsid w:val="00192B56"/>
    <w:rsid w:val="0019601C"/>
    <w:rsid w:val="001B1A85"/>
    <w:rsid w:val="001B566E"/>
    <w:rsid w:val="001B6E38"/>
    <w:rsid w:val="001B75A9"/>
    <w:rsid w:val="001C479D"/>
    <w:rsid w:val="001C55B8"/>
    <w:rsid w:val="001D4945"/>
    <w:rsid w:val="001E1EF6"/>
    <w:rsid w:val="001E2ABB"/>
    <w:rsid w:val="001F1D43"/>
    <w:rsid w:val="001F2F2D"/>
    <w:rsid w:val="001F54CC"/>
    <w:rsid w:val="0020193E"/>
    <w:rsid w:val="00224341"/>
    <w:rsid w:val="00236B49"/>
    <w:rsid w:val="0025482E"/>
    <w:rsid w:val="002630DD"/>
    <w:rsid w:val="00263ED1"/>
    <w:rsid w:val="00271ADF"/>
    <w:rsid w:val="00271F4E"/>
    <w:rsid w:val="00274025"/>
    <w:rsid w:val="00275CE1"/>
    <w:rsid w:val="00285714"/>
    <w:rsid w:val="0028599C"/>
    <w:rsid w:val="00294386"/>
    <w:rsid w:val="002B2958"/>
    <w:rsid w:val="002B3402"/>
    <w:rsid w:val="002C26D0"/>
    <w:rsid w:val="002C4BF2"/>
    <w:rsid w:val="002D1673"/>
    <w:rsid w:val="002F0950"/>
    <w:rsid w:val="002F13DE"/>
    <w:rsid w:val="002F2A19"/>
    <w:rsid w:val="00304546"/>
    <w:rsid w:val="00322BEE"/>
    <w:rsid w:val="00354ADD"/>
    <w:rsid w:val="003772A6"/>
    <w:rsid w:val="003823FF"/>
    <w:rsid w:val="003904BC"/>
    <w:rsid w:val="003A0277"/>
    <w:rsid w:val="003A3BC7"/>
    <w:rsid w:val="003A573D"/>
    <w:rsid w:val="003C77CC"/>
    <w:rsid w:val="003D701D"/>
    <w:rsid w:val="003E233D"/>
    <w:rsid w:val="003E76A5"/>
    <w:rsid w:val="0040110B"/>
    <w:rsid w:val="00401C00"/>
    <w:rsid w:val="004026A4"/>
    <w:rsid w:val="00415819"/>
    <w:rsid w:val="004214A6"/>
    <w:rsid w:val="0042660E"/>
    <w:rsid w:val="00452E65"/>
    <w:rsid w:val="00453542"/>
    <w:rsid w:val="0045759D"/>
    <w:rsid w:val="00461BAE"/>
    <w:rsid w:val="00462628"/>
    <w:rsid w:val="004650D6"/>
    <w:rsid w:val="0047488F"/>
    <w:rsid w:val="00475B83"/>
    <w:rsid w:val="00475F49"/>
    <w:rsid w:val="00480E60"/>
    <w:rsid w:val="00481D52"/>
    <w:rsid w:val="004B03D9"/>
    <w:rsid w:val="004B650D"/>
    <w:rsid w:val="004E1093"/>
    <w:rsid w:val="004F46FF"/>
    <w:rsid w:val="0051469A"/>
    <w:rsid w:val="00515002"/>
    <w:rsid w:val="0052599D"/>
    <w:rsid w:val="005268DD"/>
    <w:rsid w:val="0053214A"/>
    <w:rsid w:val="005373C5"/>
    <w:rsid w:val="00540459"/>
    <w:rsid w:val="0054280C"/>
    <w:rsid w:val="00543EEC"/>
    <w:rsid w:val="00562412"/>
    <w:rsid w:val="00567577"/>
    <w:rsid w:val="00567BDC"/>
    <w:rsid w:val="00572C8B"/>
    <w:rsid w:val="00582355"/>
    <w:rsid w:val="00591AE2"/>
    <w:rsid w:val="00591F6E"/>
    <w:rsid w:val="00595836"/>
    <w:rsid w:val="005A25BC"/>
    <w:rsid w:val="005B2114"/>
    <w:rsid w:val="005B3F2A"/>
    <w:rsid w:val="005C5ABD"/>
    <w:rsid w:val="005F1CD3"/>
    <w:rsid w:val="005F3245"/>
    <w:rsid w:val="005F7C36"/>
    <w:rsid w:val="00600394"/>
    <w:rsid w:val="006017F7"/>
    <w:rsid w:val="006034F7"/>
    <w:rsid w:val="00614B4A"/>
    <w:rsid w:val="00622486"/>
    <w:rsid w:val="00641549"/>
    <w:rsid w:val="00641914"/>
    <w:rsid w:val="00654F2F"/>
    <w:rsid w:val="00671BAC"/>
    <w:rsid w:val="006870E9"/>
    <w:rsid w:val="006A0233"/>
    <w:rsid w:val="006A417D"/>
    <w:rsid w:val="006A74B0"/>
    <w:rsid w:val="006B257E"/>
    <w:rsid w:val="006B2E90"/>
    <w:rsid w:val="006B3E83"/>
    <w:rsid w:val="006B6AAE"/>
    <w:rsid w:val="006C17B5"/>
    <w:rsid w:val="006C30ED"/>
    <w:rsid w:val="006C6D24"/>
    <w:rsid w:val="006C786A"/>
    <w:rsid w:val="006D67BD"/>
    <w:rsid w:val="006E188C"/>
    <w:rsid w:val="006F2B42"/>
    <w:rsid w:val="006F3CEE"/>
    <w:rsid w:val="006F68BF"/>
    <w:rsid w:val="007011F4"/>
    <w:rsid w:val="00707CE3"/>
    <w:rsid w:val="00711FCD"/>
    <w:rsid w:val="00725C3C"/>
    <w:rsid w:val="00730D39"/>
    <w:rsid w:val="00736EF1"/>
    <w:rsid w:val="007457AD"/>
    <w:rsid w:val="00746245"/>
    <w:rsid w:val="00750E96"/>
    <w:rsid w:val="0075485E"/>
    <w:rsid w:val="007655E0"/>
    <w:rsid w:val="00782D54"/>
    <w:rsid w:val="007A142A"/>
    <w:rsid w:val="007A4938"/>
    <w:rsid w:val="007C2257"/>
    <w:rsid w:val="007D04BE"/>
    <w:rsid w:val="007E0B85"/>
    <w:rsid w:val="007E1DCE"/>
    <w:rsid w:val="007E5E1C"/>
    <w:rsid w:val="007F05F2"/>
    <w:rsid w:val="007F4C18"/>
    <w:rsid w:val="007F5CDE"/>
    <w:rsid w:val="00811D41"/>
    <w:rsid w:val="00812652"/>
    <w:rsid w:val="0082761A"/>
    <w:rsid w:val="008322C0"/>
    <w:rsid w:val="00832B7C"/>
    <w:rsid w:val="00833967"/>
    <w:rsid w:val="00835D9E"/>
    <w:rsid w:val="0083704C"/>
    <w:rsid w:val="008414BC"/>
    <w:rsid w:val="00846E0C"/>
    <w:rsid w:val="00853238"/>
    <w:rsid w:val="008967DC"/>
    <w:rsid w:val="00896AE0"/>
    <w:rsid w:val="008A1001"/>
    <w:rsid w:val="008A65B6"/>
    <w:rsid w:val="008B19AE"/>
    <w:rsid w:val="008B727C"/>
    <w:rsid w:val="008C7E71"/>
    <w:rsid w:val="008F0C5E"/>
    <w:rsid w:val="008F22D2"/>
    <w:rsid w:val="008F5B87"/>
    <w:rsid w:val="0090711E"/>
    <w:rsid w:val="00911001"/>
    <w:rsid w:val="00916551"/>
    <w:rsid w:val="00924B62"/>
    <w:rsid w:val="009323BA"/>
    <w:rsid w:val="00933FDB"/>
    <w:rsid w:val="009345E5"/>
    <w:rsid w:val="00934640"/>
    <w:rsid w:val="00951079"/>
    <w:rsid w:val="0096030D"/>
    <w:rsid w:val="00961D97"/>
    <w:rsid w:val="009738B3"/>
    <w:rsid w:val="00982BB6"/>
    <w:rsid w:val="00985D0B"/>
    <w:rsid w:val="00991B36"/>
    <w:rsid w:val="0099743A"/>
    <w:rsid w:val="009A7AC9"/>
    <w:rsid w:val="009B0147"/>
    <w:rsid w:val="009D5711"/>
    <w:rsid w:val="009D76BF"/>
    <w:rsid w:val="009F452F"/>
    <w:rsid w:val="009F6831"/>
    <w:rsid w:val="009F783D"/>
    <w:rsid w:val="00A040E4"/>
    <w:rsid w:val="00A14CC9"/>
    <w:rsid w:val="00A20753"/>
    <w:rsid w:val="00A23C23"/>
    <w:rsid w:val="00A242C3"/>
    <w:rsid w:val="00A31AE0"/>
    <w:rsid w:val="00A414A3"/>
    <w:rsid w:val="00A41775"/>
    <w:rsid w:val="00A45413"/>
    <w:rsid w:val="00A50896"/>
    <w:rsid w:val="00A5164F"/>
    <w:rsid w:val="00A53CFB"/>
    <w:rsid w:val="00A813D6"/>
    <w:rsid w:val="00A82339"/>
    <w:rsid w:val="00A97D9C"/>
    <w:rsid w:val="00AA5842"/>
    <w:rsid w:val="00AA6D68"/>
    <w:rsid w:val="00AB3FA3"/>
    <w:rsid w:val="00AC3893"/>
    <w:rsid w:val="00AC3C11"/>
    <w:rsid w:val="00AD768F"/>
    <w:rsid w:val="00AF0ACF"/>
    <w:rsid w:val="00B21110"/>
    <w:rsid w:val="00B34CD0"/>
    <w:rsid w:val="00B44F06"/>
    <w:rsid w:val="00B457F2"/>
    <w:rsid w:val="00B552A4"/>
    <w:rsid w:val="00B55E74"/>
    <w:rsid w:val="00B57B10"/>
    <w:rsid w:val="00B72877"/>
    <w:rsid w:val="00B902BF"/>
    <w:rsid w:val="00B95A2A"/>
    <w:rsid w:val="00B95B77"/>
    <w:rsid w:val="00B9631F"/>
    <w:rsid w:val="00BA20AF"/>
    <w:rsid w:val="00BB6709"/>
    <w:rsid w:val="00BC567B"/>
    <w:rsid w:val="00BD3995"/>
    <w:rsid w:val="00BD7CED"/>
    <w:rsid w:val="00BE186A"/>
    <w:rsid w:val="00BE6078"/>
    <w:rsid w:val="00BE6DF0"/>
    <w:rsid w:val="00BF1AFF"/>
    <w:rsid w:val="00C025B0"/>
    <w:rsid w:val="00C03BA6"/>
    <w:rsid w:val="00C0625D"/>
    <w:rsid w:val="00C1212E"/>
    <w:rsid w:val="00C14DBB"/>
    <w:rsid w:val="00C34319"/>
    <w:rsid w:val="00C34963"/>
    <w:rsid w:val="00C3500A"/>
    <w:rsid w:val="00C41B20"/>
    <w:rsid w:val="00C51FCB"/>
    <w:rsid w:val="00C535EE"/>
    <w:rsid w:val="00C62790"/>
    <w:rsid w:val="00C63D3A"/>
    <w:rsid w:val="00C670DF"/>
    <w:rsid w:val="00C67FBF"/>
    <w:rsid w:val="00C7685A"/>
    <w:rsid w:val="00C87931"/>
    <w:rsid w:val="00CA1B96"/>
    <w:rsid w:val="00CA62C6"/>
    <w:rsid w:val="00CA6B55"/>
    <w:rsid w:val="00CB2149"/>
    <w:rsid w:val="00CC0438"/>
    <w:rsid w:val="00CC5888"/>
    <w:rsid w:val="00CD2CBB"/>
    <w:rsid w:val="00CE04D1"/>
    <w:rsid w:val="00CE4635"/>
    <w:rsid w:val="00CE4F0D"/>
    <w:rsid w:val="00CE6CA4"/>
    <w:rsid w:val="00CF7B14"/>
    <w:rsid w:val="00D02787"/>
    <w:rsid w:val="00D03D30"/>
    <w:rsid w:val="00D05A5C"/>
    <w:rsid w:val="00D0724C"/>
    <w:rsid w:val="00D17054"/>
    <w:rsid w:val="00D229B8"/>
    <w:rsid w:val="00D31F48"/>
    <w:rsid w:val="00D32C39"/>
    <w:rsid w:val="00D32E48"/>
    <w:rsid w:val="00D3309A"/>
    <w:rsid w:val="00D36375"/>
    <w:rsid w:val="00D503E5"/>
    <w:rsid w:val="00D67C79"/>
    <w:rsid w:val="00D70B1E"/>
    <w:rsid w:val="00D75BB6"/>
    <w:rsid w:val="00D85AEE"/>
    <w:rsid w:val="00D9710B"/>
    <w:rsid w:val="00DA58A7"/>
    <w:rsid w:val="00DA6120"/>
    <w:rsid w:val="00DA7849"/>
    <w:rsid w:val="00DB24A4"/>
    <w:rsid w:val="00DB4035"/>
    <w:rsid w:val="00DC3FB5"/>
    <w:rsid w:val="00DC59C7"/>
    <w:rsid w:val="00DD3B04"/>
    <w:rsid w:val="00DE1DF5"/>
    <w:rsid w:val="00DE2EBF"/>
    <w:rsid w:val="00DE3D63"/>
    <w:rsid w:val="00DF4058"/>
    <w:rsid w:val="00DF4549"/>
    <w:rsid w:val="00E01274"/>
    <w:rsid w:val="00E04C19"/>
    <w:rsid w:val="00E1304D"/>
    <w:rsid w:val="00E22409"/>
    <w:rsid w:val="00E264B4"/>
    <w:rsid w:val="00E31944"/>
    <w:rsid w:val="00E46478"/>
    <w:rsid w:val="00E67C0F"/>
    <w:rsid w:val="00E71B3F"/>
    <w:rsid w:val="00E76A4B"/>
    <w:rsid w:val="00E8024E"/>
    <w:rsid w:val="00E813F5"/>
    <w:rsid w:val="00E94283"/>
    <w:rsid w:val="00E94326"/>
    <w:rsid w:val="00E96DA2"/>
    <w:rsid w:val="00E97ACB"/>
    <w:rsid w:val="00EA319C"/>
    <w:rsid w:val="00EA77D9"/>
    <w:rsid w:val="00EA7F77"/>
    <w:rsid w:val="00EB5A76"/>
    <w:rsid w:val="00EC7CBC"/>
    <w:rsid w:val="00EF4A53"/>
    <w:rsid w:val="00F11D7A"/>
    <w:rsid w:val="00F11DF7"/>
    <w:rsid w:val="00F236C8"/>
    <w:rsid w:val="00F25C07"/>
    <w:rsid w:val="00F32DC8"/>
    <w:rsid w:val="00F60DC5"/>
    <w:rsid w:val="00F610F4"/>
    <w:rsid w:val="00F644BD"/>
    <w:rsid w:val="00F65B20"/>
    <w:rsid w:val="00F72C19"/>
    <w:rsid w:val="00F8456F"/>
    <w:rsid w:val="00FC7078"/>
    <w:rsid w:val="00FD5D21"/>
    <w:rsid w:val="00FD7F21"/>
    <w:rsid w:val="00FE3150"/>
    <w:rsid w:val="00FE4E9F"/>
    <w:rsid w:val="00FE6E67"/>
    <w:rsid w:val="00FF1D6E"/>
    <w:rsid w:val="00FF5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31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19C"/>
  </w:style>
  <w:style w:type="paragraph" w:styleId="Heading1">
    <w:name w:val="heading 1"/>
    <w:basedOn w:val="Normal"/>
    <w:next w:val="Normal"/>
    <w:link w:val="Heading1Char"/>
    <w:uiPriority w:val="9"/>
    <w:qFormat/>
    <w:rsid w:val="008A1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C7"/>
    <w:rPr>
      <w:rFonts w:ascii="Tahoma" w:hAnsi="Tahoma" w:cs="Tahoma"/>
      <w:sz w:val="16"/>
      <w:szCs w:val="16"/>
    </w:rPr>
  </w:style>
  <w:style w:type="paragraph" w:styleId="ListParagraph">
    <w:name w:val="List Paragraph"/>
    <w:basedOn w:val="Normal"/>
    <w:uiPriority w:val="34"/>
    <w:qFormat/>
    <w:rsid w:val="000725B1"/>
    <w:pPr>
      <w:ind w:left="720"/>
      <w:contextualSpacing/>
    </w:pPr>
  </w:style>
  <w:style w:type="character" w:styleId="Hyperlink">
    <w:name w:val="Hyperlink"/>
    <w:basedOn w:val="DefaultParagraphFont"/>
    <w:uiPriority w:val="99"/>
    <w:unhideWhenUsed/>
    <w:rsid w:val="000725B1"/>
    <w:rPr>
      <w:color w:val="0000FF" w:themeColor="hyperlink"/>
      <w:u w:val="single"/>
    </w:rPr>
  </w:style>
  <w:style w:type="table" w:styleId="TableGrid">
    <w:name w:val="Table Grid"/>
    <w:basedOn w:val="TableNormal"/>
    <w:uiPriority w:val="59"/>
    <w:rsid w:val="005F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711"/>
  </w:style>
  <w:style w:type="paragraph" w:styleId="Footer">
    <w:name w:val="footer"/>
    <w:basedOn w:val="Normal"/>
    <w:link w:val="FooterChar"/>
    <w:uiPriority w:val="99"/>
    <w:unhideWhenUsed/>
    <w:rsid w:val="000C0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711"/>
  </w:style>
  <w:style w:type="paragraph" w:customStyle="1" w:styleId="Default">
    <w:name w:val="Default"/>
    <w:rsid w:val="00CE6CA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unhideWhenUsed/>
    <w:rsid w:val="00DA61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A100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A1001"/>
    <w:pPr>
      <w:outlineLvl w:val="9"/>
    </w:pPr>
    <w:rPr>
      <w:lang w:val="en-US" w:eastAsia="ja-JP"/>
    </w:rPr>
  </w:style>
  <w:style w:type="paragraph" w:customStyle="1" w:styleId="Pa3">
    <w:name w:val="Pa3"/>
    <w:basedOn w:val="Default"/>
    <w:next w:val="Default"/>
    <w:uiPriority w:val="99"/>
    <w:rsid w:val="00A45413"/>
    <w:pPr>
      <w:spacing w:line="201" w:lineRule="atLeast"/>
    </w:pPr>
    <w:rPr>
      <w:rFonts w:ascii="Gotham Bold" w:eastAsiaTheme="minorHAnsi" w:hAnsi="Gotham Bold" w:cstheme="minorBidi"/>
      <w:color w:val="auto"/>
      <w:lang w:eastAsia="en-US"/>
    </w:rPr>
  </w:style>
  <w:style w:type="paragraph" w:customStyle="1" w:styleId="Pa9">
    <w:name w:val="Pa9"/>
    <w:basedOn w:val="Default"/>
    <w:next w:val="Default"/>
    <w:uiPriority w:val="99"/>
    <w:rsid w:val="00A45413"/>
    <w:pPr>
      <w:spacing w:line="201" w:lineRule="atLeast"/>
    </w:pPr>
    <w:rPr>
      <w:rFonts w:ascii="Gotham Bold" w:eastAsiaTheme="minorHAnsi" w:hAnsi="Gotham Bold" w:cstheme="minorBidi"/>
      <w:color w:val="auto"/>
      <w:lang w:eastAsia="en-US"/>
    </w:rPr>
  </w:style>
  <w:style w:type="paragraph" w:styleId="NoSpacing">
    <w:name w:val="No Spacing"/>
    <w:uiPriority w:val="1"/>
    <w:qFormat/>
    <w:rsid w:val="00BD7CED"/>
    <w:pPr>
      <w:spacing w:after="0" w:line="240" w:lineRule="auto"/>
    </w:pPr>
    <w:rPr>
      <w:rFonts w:eastAsiaTheme="minorEastAsia"/>
      <w:sz w:val="24"/>
      <w:szCs w:val="24"/>
      <w:lang w:val="en-US"/>
    </w:rPr>
  </w:style>
  <w:style w:type="character" w:styleId="IntenseReference">
    <w:name w:val="Intense Reference"/>
    <w:basedOn w:val="DefaultParagraphFont"/>
    <w:uiPriority w:val="32"/>
    <w:qFormat/>
    <w:rsid w:val="006A74B0"/>
    <w:rPr>
      <w:b/>
      <w:bCs/>
      <w:smallCaps/>
      <w:color w:val="C0504D" w:themeColor="accent2"/>
      <w:spacing w:val="5"/>
      <w:u w:val="single"/>
    </w:rPr>
  </w:style>
  <w:style w:type="character" w:styleId="FollowedHyperlink">
    <w:name w:val="FollowedHyperlink"/>
    <w:basedOn w:val="DefaultParagraphFont"/>
    <w:uiPriority w:val="99"/>
    <w:semiHidden/>
    <w:unhideWhenUsed/>
    <w:rsid w:val="002740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19C"/>
  </w:style>
  <w:style w:type="paragraph" w:styleId="Heading1">
    <w:name w:val="heading 1"/>
    <w:basedOn w:val="Normal"/>
    <w:next w:val="Normal"/>
    <w:link w:val="Heading1Char"/>
    <w:uiPriority w:val="9"/>
    <w:qFormat/>
    <w:rsid w:val="008A1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C7"/>
    <w:rPr>
      <w:rFonts w:ascii="Tahoma" w:hAnsi="Tahoma" w:cs="Tahoma"/>
      <w:sz w:val="16"/>
      <w:szCs w:val="16"/>
    </w:rPr>
  </w:style>
  <w:style w:type="paragraph" w:styleId="ListParagraph">
    <w:name w:val="List Paragraph"/>
    <w:basedOn w:val="Normal"/>
    <w:uiPriority w:val="34"/>
    <w:qFormat/>
    <w:rsid w:val="000725B1"/>
    <w:pPr>
      <w:ind w:left="720"/>
      <w:contextualSpacing/>
    </w:pPr>
  </w:style>
  <w:style w:type="character" w:styleId="Hyperlink">
    <w:name w:val="Hyperlink"/>
    <w:basedOn w:val="DefaultParagraphFont"/>
    <w:uiPriority w:val="99"/>
    <w:unhideWhenUsed/>
    <w:rsid w:val="000725B1"/>
    <w:rPr>
      <w:color w:val="0000FF" w:themeColor="hyperlink"/>
      <w:u w:val="single"/>
    </w:rPr>
  </w:style>
  <w:style w:type="table" w:styleId="TableGrid">
    <w:name w:val="Table Grid"/>
    <w:basedOn w:val="TableNormal"/>
    <w:uiPriority w:val="59"/>
    <w:rsid w:val="005F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711"/>
  </w:style>
  <w:style w:type="paragraph" w:styleId="Footer">
    <w:name w:val="footer"/>
    <w:basedOn w:val="Normal"/>
    <w:link w:val="FooterChar"/>
    <w:uiPriority w:val="99"/>
    <w:unhideWhenUsed/>
    <w:rsid w:val="000C0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711"/>
  </w:style>
  <w:style w:type="paragraph" w:customStyle="1" w:styleId="Default">
    <w:name w:val="Default"/>
    <w:rsid w:val="00CE6CA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unhideWhenUsed/>
    <w:rsid w:val="00DA61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A100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A1001"/>
    <w:pPr>
      <w:outlineLvl w:val="9"/>
    </w:pPr>
    <w:rPr>
      <w:lang w:val="en-US" w:eastAsia="ja-JP"/>
    </w:rPr>
  </w:style>
  <w:style w:type="paragraph" w:customStyle="1" w:styleId="Pa3">
    <w:name w:val="Pa3"/>
    <w:basedOn w:val="Default"/>
    <w:next w:val="Default"/>
    <w:uiPriority w:val="99"/>
    <w:rsid w:val="00A45413"/>
    <w:pPr>
      <w:spacing w:line="201" w:lineRule="atLeast"/>
    </w:pPr>
    <w:rPr>
      <w:rFonts w:ascii="Gotham Bold" w:eastAsiaTheme="minorHAnsi" w:hAnsi="Gotham Bold" w:cstheme="minorBidi"/>
      <w:color w:val="auto"/>
      <w:lang w:eastAsia="en-US"/>
    </w:rPr>
  </w:style>
  <w:style w:type="paragraph" w:customStyle="1" w:styleId="Pa9">
    <w:name w:val="Pa9"/>
    <w:basedOn w:val="Default"/>
    <w:next w:val="Default"/>
    <w:uiPriority w:val="99"/>
    <w:rsid w:val="00A45413"/>
    <w:pPr>
      <w:spacing w:line="201" w:lineRule="atLeast"/>
    </w:pPr>
    <w:rPr>
      <w:rFonts w:ascii="Gotham Bold" w:eastAsiaTheme="minorHAnsi" w:hAnsi="Gotham Bold" w:cstheme="minorBidi"/>
      <w:color w:val="auto"/>
      <w:lang w:eastAsia="en-US"/>
    </w:rPr>
  </w:style>
  <w:style w:type="paragraph" w:styleId="NoSpacing">
    <w:name w:val="No Spacing"/>
    <w:uiPriority w:val="1"/>
    <w:qFormat/>
    <w:rsid w:val="00BD7CED"/>
    <w:pPr>
      <w:spacing w:after="0" w:line="240" w:lineRule="auto"/>
    </w:pPr>
    <w:rPr>
      <w:rFonts w:eastAsiaTheme="minorEastAsia"/>
      <w:sz w:val="24"/>
      <w:szCs w:val="24"/>
      <w:lang w:val="en-US"/>
    </w:rPr>
  </w:style>
  <w:style w:type="character" w:styleId="IntenseReference">
    <w:name w:val="Intense Reference"/>
    <w:basedOn w:val="DefaultParagraphFont"/>
    <w:uiPriority w:val="32"/>
    <w:qFormat/>
    <w:rsid w:val="006A74B0"/>
    <w:rPr>
      <w:b/>
      <w:bCs/>
      <w:smallCaps/>
      <w:color w:val="C0504D" w:themeColor="accent2"/>
      <w:spacing w:val="5"/>
      <w:u w:val="single"/>
    </w:rPr>
  </w:style>
  <w:style w:type="character" w:styleId="FollowedHyperlink">
    <w:name w:val="FollowedHyperlink"/>
    <w:basedOn w:val="DefaultParagraphFont"/>
    <w:uiPriority w:val="99"/>
    <w:semiHidden/>
    <w:unhideWhenUsed/>
    <w:rsid w:val="002740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7854">
      <w:bodyDiv w:val="1"/>
      <w:marLeft w:val="0"/>
      <w:marRight w:val="0"/>
      <w:marTop w:val="0"/>
      <w:marBottom w:val="0"/>
      <w:divBdr>
        <w:top w:val="none" w:sz="0" w:space="0" w:color="auto"/>
        <w:left w:val="none" w:sz="0" w:space="0" w:color="auto"/>
        <w:bottom w:val="none" w:sz="0" w:space="0" w:color="auto"/>
        <w:right w:val="none" w:sz="0" w:space="0" w:color="auto"/>
      </w:divBdr>
    </w:div>
    <w:div w:id="124397294">
      <w:bodyDiv w:val="1"/>
      <w:marLeft w:val="0"/>
      <w:marRight w:val="0"/>
      <w:marTop w:val="0"/>
      <w:marBottom w:val="0"/>
      <w:divBdr>
        <w:top w:val="none" w:sz="0" w:space="0" w:color="auto"/>
        <w:left w:val="none" w:sz="0" w:space="0" w:color="auto"/>
        <w:bottom w:val="none" w:sz="0" w:space="0" w:color="auto"/>
        <w:right w:val="none" w:sz="0" w:space="0" w:color="auto"/>
      </w:divBdr>
      <w:divsChild>
        <w:div w:id="1275559004">
          <w:marLeft w:val="0"/>
          <w:marRight w:val="0"/>
          <w:marTop w:val="0"/>
          <w:marBottom w:val="0"/>
          <w:divBdr>
            <w:top w:val="none" w:sz="0" w:space="0" w:color="auto"/>
            <w:left w:val="none" w:sz="0" w:space="0" w:color="auto"/>
            <w:bottom w:val="none" w:sz="0" w:space="0" w:color="auto"/>
            <w:right w:val="none" w:sz="0" w:space="0" w:color="auto"/>
          </w:divBdr>
          <w:divsChild>
            <w:div w:id="1234583595">
              <w:marLeft w:val="-225"/>
              <w:marRight w:val="-225"/>
              <w:marTop w:val="0"/>
              <w:marBottom w:val="0"/>
              <w:divBdr>
                <w:top w:val="none" w:sz="0" w:space="0" w:color="auto"/>
                <w:left w:val="none" w:sz="0" w:space="0" w:color="auto"/>
                <w:bottom w:val="none" w:sz="0" w:space="0" w:color="auto"/>
                <w:right w:val="none" w:sz="0" w:space="0" w:color="auto"/>
              </w:divBdr>
              <w:divsChild>
                <w:div w:id="2058818900">
                  <w:marLeft w:val="0"/>
                  <w:marRight w:val="0"/>
                  <w:marTop w:val="0"/>
                  <w:marBottom w:val="0"/>
                  <w:divBdr>
                    <w:top w:val="none" w:sz="0" w:space="0" w:color="auto"/>
                    <w:left w:val="none" w:sz="0" w:space="0" w:color="auto"/>
                    <w:bottom w:val="none" w:sz="0" w:space="0" w:color="auto"/>
                    <w:right w:val="none" w:sz="0" w:space="0" w:color="auto"/>
                  </w:divBdr>
                  <w:divsChild>
                    <w:div w:id="1619726404">
                      <w:marLeft w:val="0"/>
                      <w:marRight w:val="0"/>
                      <w:marTop w:val="0"/>
                      <w:marBottom w:val="600"/>
                      <w:divBdr>
                        <w:top w:val="none" w:sz="0" w:space="0" w:color="auto"/>
                        <w:left w:val="none" w:sz="0" w:space="0" w:color="auto"/>
                        <w:bottom w:val="none" w:sz="0" w:space="0" w:color="auto"/>
                        <w:right w:val="none" w:sz="0" w:space="0" w:color="auto"/>
                      </w:divBdr>
                      <w:divsChild>
                        <w:div w:id="617877714">
                          <w:marLeft w:val="0"/>
                          <w:marRight w:val="0"/>
                          <w:marTop w:val="0"/>
                          <w:marBottom w:val="0"/>
                          <w:divBdr>
                            <w:top w:val="none" w:sz="0" w:space="0" w:color="auto"/>
                            <w:left w:val="none" w:sz="0" w:space="0" w:color="auto"/>
                            <w:bottom w:val="none" w:sz="0" w:space="0" w:color="auto"/>
                            <w:right w:val="none" w:sz="0" w:space="0" w:color="auto"/>
                          </w:divBdr>
                          <w:divsChild>
                            <w:div w:id="438838225">
                              <w:marLeft w:val="0"/>
                              <w:marRight w:val="0"/>
                              <w:marTop w:val="0"/>
                              <w:marBottom w:val="0"/>
                              <w:divBdr>
                                <w:top w:val="none" w:sz="0" w:space="0" w:color="auto"/>
                                <w:left w:val="none" w:sz="0" w:space="0" w:color="auto"/>
                                <w:bottom w:val="none" w:sz="0" w:space="0" w:color="auto"/>
                                <w:right w:val="none" w:sz="0" w:space="0" w:color="auto"/>
                              </w:divBdr>
                              <w:divsChild>
                                <w:div w:id="574125532">
                                  <w:marLeft w:val="0"/>
                                  <w:marRight w:val="0"/>
                                  <w:marTop w:val="0"/>
                                  <w:marBottom w:val="0"/>
                                  <w:divBdr>
                                    <w:top w:val="none" w:sz="0" w:space="0" w:color="auto"/>
                                    <w:left w:val="none" w:sz="0" w:space="0" w:color="auto"/>
                                    <w:bottom w:val="none" w:sz="0" w:space="0" w:color="auto"/>
                                    <w:right w:val="none" w:sz="0" w:space="0" w:color="auto"/>
                                  </w:divBdr>
                                  <w:divsChild>
                                    <w:div w:id="2115049204">
                                      <w:marLeft w:val="0"/>
                                      <w:marRight w:val="0"/>
                                      <w:marTop w:val="0"/>
                                      <w:marBottom w:val="0"/>
                                      <w:divBdr>
                                        <w:top w:val="none" w:sz="0" w:space="0" w:color="auto"/>
                                        <w:left w:val="none" w:sz="0" w:space="0" w:color="auto"/>
                                        <w:bottom w:val="none" w:sz="0" w:space="0" w:color="auto"/>
                                        <w:right w:val="none" w:sz="0" w:space="0" w:color="auto"/>
                                      </w:divBdr>
                                      <w:divsChild>
                                        <w:div w:id="1906329198">
                                          <w:marLeft w:val="0"/>
                                          <w:marRight w:val="0"/>
                                          <w:marTop w:val="0"/>
                                          <w:marBottom w:val="0"/>
                                          <w:divBdr>
                                            <w:top w:val="none" w:sz="0" w:space="0" w:color="auto"/>
                                            <w:left w:val="none" w:sz="0" w:space="0" w:color="auto"/>
                                            <w:bottom w:val="none" w:sz="0" w:space="0" w:color="auto"/>
                                            <w:right w:val="none" w:sz="0" w:space="0" w:color="auto"/>
                                          </w:divBdr>
                                          <w:divsChild>
                                            <w:div w:id="1965305986">
                                              <w:marLeft w:val="0"/>
                                              <w:marRight w:val="0"/>
                                              <w:marTop w:val="0"/>
                                              <w:marBottom w:val="0"/>
                                              <w:divBdr>
                                                <w:top w:val="none" w:sz="0" w:space="0" w:color="auto"/>
                                                <w:left w:val="none" w:sz="0" w:space="0" w:color="auto"/>
                                                <w:bottom w:val="none" w:sz="0" w:space="0" w:color="auto"/>
                                                <w:right w:val="none" w:sz="0" w:space="0" w:color="auto"/>
                                              </w:divBdr>
                                              <w:divsChild>
                                                <w:div w:id="147017303">
                                                  <w:marLeft w:val="0"/>
                                                  <w:marRight w:val="0"/>
                                                  <w:marTop w:val="0"/>
                                                  <w:marBottom w:val="0"/>
                                                  <w:divBdr>
                                                    <w:top w:val="none" w:sz="0" w:space="0" w:color="auto"/>
                                                    <w:left w:val="none" w:sz="0" w:space="0" w:color="auto"/>
                                                    <w:bottom w:val="none" w:sz="0" w:space="0" w:color="auto"/>
                                                    <w:right w:val="none" w:sz="0" w:space="0" w:color="auto"/>
                                                  </w:divBdr>
                                                  <w:divsChild>
                                                    <w:div w:id="1747144436">
                                                      <w:marLeft w:val="0"/>
                                                      <w:marRight w:val="0"/>
                                                      <w:marTop w:val="0"/>
                                                      <w:marBottom w:val="0"/>
                                                      <w:divBdr>
                                                        <w:top w:val="none" w:sz="0" w:space="0" w:color="auto"/>
                                                        <w:left w:val="none" w:sz="0" w:space="0" w:color="auto"/>
                                                        <w:bottom w:val="none" w:sz="0" w:space="0" w:color="auto"/>
                                                        <w:right w:val="none" w:sz="0" w:space="0" w:color="auto"/>
                                                      </w:divBdr>
                                                      <w:divsChild>
                                                        <w:div w:id="1095132109">
                                                          <w:marLeft w:val="0"/>
                                                          <w:marRight w:val="0"/>
                                                          <w:marTop w:val="0"/>
                                                          <w:marBottom w:val="0"/>
                                                          <w:divBdr>
                                                            <w:top w:val="none" w:sz="0" w:space="0" w:color="auto"/>
                                                            <w:left w:val="none" w:sz="0" w:space="0" w:color="auto"/>
                                                            <w:bottom w:val="none" w:sz="0" w:space="0" w:color="auto"/>
                                                            <w:right w:val="none" w:sz="0" w:space="0" w:color="auto"/>
                                                          </w:divBdr>
                                                          <w:divsChild>
                                                            <w:div w:id="15559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80090">
      <w:bodyDiv w:val="1"/>
      <w:marLeft w:val="0"/>
      <w:marRight w:val="0"/>
      <w:marTop w:val="0"/>
      <w:marBottom w:val="0"/>
      <w:divBdr>
        <w:top w:val="none" w:sz="0" w:space="0" w:color="auto"/>
        <w:left w:val="none" w:sz="0" w:space="0" w:color="auto"/>
        <w:bottom w:val="none" w:sz="0" w:space="0" w:color="auto"/>
        <w:right w:val="none" w:sz="0" w:space="0" w:color="auto"/>
      </w:divBdr>
    </w:div>
    <w:div w:id="280697622">
      <w:bodyDiv w:val="1"/>
      <w:marLeft w:val="120"/>
      <w:marRight w:val="120"/>
      <w:marTop w:val="0"/>
      <w:marBottom w:val="0"/>
      <w:divBdr>
        <w:top w:val="none" w:sz="0" w:space="0" w:color="auto"/>
        <w:left w:val="none" w:sz="0" w:space="0" w:color="auto"/>
        <w:bottom w:val="none" w:sz="0" w:space="0" w:color="auto"/>
        <w:right w:val="none" w:sz="0" w:space="0" w:color="auto"/>
      </w:divBdr>
      <w:divsChild>
        <w:div w:id="20058170">
          <w:marLeft w:val="0"/>
          <w:marRight w:val="0"/>
          <w:marTop w:val="0"/>
          <w:marBottom w:val="0"/>
          <w:divBdr>
            <w:top w:val="none" w:sz="0" w:space="0" w:color="auto"/>
            <w:left w:val="none" w:sz="0" w:space="0" w:color="auto"/>
            <w:bottom w:val="none" w:sz="0" w:space="0" w:color="auto"/>
            <w:right w:val="none" w:sz="0" w:space="0" w:color="auto"/>
          </w:divBdr>
          <w:divsChild>
            <w:div w:id="4162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1654">
      <w:bodyDiv w:val="1"/>
      <w:marLeft w:val="0"/>
      <w:marRight w:val="0"/>
      <w:marTop w:val="0"/>
      <w:marBottom w:val="0"/>
      <w:divBdr>
        <w:top w:val="none" w:sz="0" w:space="0" w:color="auto"/>
        <w:left w:val="none" w:sz="0" w:space="0" w:color="auto"/>
        <w:bottom w:val="none" w:sz="0" w:space="0" w:color="auto"/>
        <w:right w:val="none" w:sz="0" w:space="0" w:color="auto"/>
      </w:divBdr>
    </w:div>
    <w:div w:id="891229337">
      <w:bodyDiv w:val="1"/>
      <w:marLeft w:val="0"/>
      <w:marRight w:val="0"/>
      <w:marTop w:val="0"/>
      <w:marBottom w:val="0"/>
      <w:divBdr>
        <w:top w:val="none" w:sz="0" w:space="0" w:color="auto"/>
        <w:left w:val="none" w:sz="0" w:space="0" w:color="auto"/>
        <w:bottom w:val="none" w:sz="0" w:space="0" w:color="auto"/>
        <w:right w:val="none" w:sz="0" w:space="0" w:color="auto"/>
      </w:divBdr>
    </w:div>
    <w:div w:id="999891984">
      <w:bodyDiv w:val="1"/>
      <w:marLeft w:val="0"/>
      <w:marRight w:val="0"/>
      <w:marTop w:val="0"/>
      <w:marBottom w:val="0"/>
      <w:divBdr>
        <w:top w:val="none" w:sz="0" w:space="0" w:color="auto"/>
        <w:left w:val="none" w:sz="0" w:space="0" w:color="auto"/>
        <w:bottom w:val="none" w:sz="0" w:space="0" w:color="auto"/>
        <w:right w:val="none" w:sz="0" w:space="0" w:color="auto"/>
      </w:divBdr>
      <w:divsChild>
        <w:div w:id="1464275587">
          <w:marLeft w:val="0"/>
          <w:marRight w:val="0"/>
          <w:marTop w:val="0"/>
          <w:marBottom w:val="0"/>
          <w:divBdr>
            <w:top w:val="none" w:sz="0" w:space="0" w:color="auto"/>
            <w:left w:val="none" w:sz="0" w:space="0" w:color="auto"/>
            <w:bottom w:val="none" w:sz="0" w:space="0" w:color="auto"/>
            <w:right w:val="none" w:sz="0" w:space="0" w:color="auto"/>
          </w:divBdr>
          <w:divsChild>
            <w:div w:id="502402641">
              <w:marLeft w:val="0"/>
              <w:marRight w:val="0"/>
              <w:marTop w:val="0"/>
              <w:marBottom w:val="0"/>
              <w:divBdr>
                <w:top w:val="none" w:sz="0" w:space="0" w:color="auto"/>
                <w:left w:val="none" w:sz="0" w:space="0" w:color="auto"/>
                <w:bottom w:val="none" w:sz="0" w:space="0" w:color="auto"/>
                <w:right w:val="none" w:sz="0" w:space="0" w:color="auto"/>
              </w:divBdr>
              <w:divsChild>
                <w:div w:id="392702142">
                  <w:marLeft w:val="0"/>
                  <w:marRight w:val="0"/>
                  <w:marTop w:val="0"/>
                  <w:marBottom w:val="0"/>
                  <w:divBdr>
                    <w:top w:val="none" w:sz="0" w:space="0" w:color="auto"/>
                    <w:left w:val="none" w:sz="0" w:space="0" w:color="auto"/>
                    <w:bottom w:val="none" w:sz="0" w:space="0" w:color="auto"/>
                    <w:right w:val="none" w:sz="0" w:space="0" w:color="auto"/>
                  </w:divBdr>
                  <w:divsChild>
                    <w:div w:id="25496167">
                      <w:marLeft w:val="0"/>
                      <w:marRight w:val="0"/>
                      <w:marTop w:val="0"/>
                      <w:marBottom w:val="0"/>
                      <w:divBdr>
                        <w:top w:val="none" w:sz="0" w:space="0" w:color="auto"/>
                        <w:left w:val="none" w:sz="0" w:space="0" w:color="auto"/>
                        <w:bottom w:val="none" w:sz="0" w:space="0" w:color="auto"/>
                        <w:right w:val="none" w:sz="0" w:space="0" w:color="auto"/>
                      </w:divBdr>
                      <w:divsChild>
                        <w:div w:id="584455843">
                          <w:marLeft w:val="0"/>
                          <w:marRight w:val="0"/>
                          <w:marTop w:val="0"/>
                          <w:marBottom w:val="0"/>
                          <w:divBdr>
                            <w:top w:val="none" w:sz="0" w:space="0" w:color="auto"/>
                            <w:left w:val="none" w:sz="0" w:space="0" w:color="auto"/>
                            <w:bottom w:val="none" w:sz="0" w:space="0" w:color="auto"/>
                            <w:right w:val="none" w:sz="0" w:space="0" w:color="auto"/>
                          </w:divBdr>
                          <w:divsChild>
                            <w:div w:id="664628372">
                              <w:marLeft w:val="0"/>
                              <w:marRight w:val="0"/>
                              <w:marTop w:val="0"/>
                              <w:marBottom w:val="0"/>
                              <w:divBdr>
                                <w:top w:val="none" w:sz="0" w:space="0" w:color="auto"/>
                                <w:left w:val="none" w:sz="0" w:space="0" w:color="auto"/>
                                <w:bottom w:val="none" w:sz="0" w:space="0" w:color="auto"/>
                                <w:right w:val="none" w:sz="0" w:space="0" w:color="auto"/>
                              </w:divBdr>
                              <w:divsChild>
                                <w:div w:id="2129815563">
                                  <w:marLeft w:val="0"/>
                                  <w:marRight w:val="0"/>
                                  <w:marTop w:val="0"/>
                                  <w:marBottom w:val="0"/>
                                  <w:divBdr>
                                    <w:top w:val="none" w:sz="0" w:space="0" w:color="auto"/>
                                    <w:left w:val="none" w:sz="0" w:space="0" w:color="auto"/>
                                    <w:bottom w:val="none" w:sz="0" w:space="0" w:color="auto"/>
                                    <w:right w:val="none" w:sz="0" w:space="0" w:color="auto"/>
                                  </w:divBdr>
                                  <w:divsChild>
                                    <w:div w:id="1539849914">
                                      <w:marLeft w:val="0"/>
                                      <w:marRight w:val="0"/>
                                      <w:marTop w:val="0"/>
                                      <w:marBottom w:val="0"/>
                                      <w:divBdr>
                                        <w:top w:val="none" w:sz="0" w:space="0" w:color="auto"/>
                                        <w:left w:val="none" w:sz="0" w:space="0" w:color="auto"/>
                                        <w:bottom w:val="none" w:sz="0" w:space="0" w:color="auto"/>
                                        <w:right w:val="none" w:sz="0" w:space="0" w:color="auto"/>
                                      </w:divBdr>
                                      <w:divsChild>
                                        <w:div w:id="978532248">
                                          <w:marLeft w:val="0"/>
                                          <w:marRight w:val="0"/>
                                          <w:marTop w:val="0"/>
                                          <w:marBottom w:val="0"/>
                                          <w:divBdr>
                                            <w:top w:val="none" w:sz="0" w:space="0" w:color="auto"/>
                                            <w:left w:val="none" w:sz="0" w:space="0" w:color="auto"/>
                                            <w:bottom w:val="none" w:sz="0" w:space="0" w:color="auto"/>
                                            <w:right w:val="none" w:sz="0" w:space="0" w:color="auto"/>
                                          </w:divBdr>
                                          <w:divsChild>
                                            <w:div w:id="708339284">
                                              <w:marLeft w:val="0"/>
                                              <w:marRight w:val="0"/>
                                              <w:marTop w:val="0"/>
                                              <w:marBottom w:val="0"/>
                                              <w:divBdr>
                                                <w:top w:val="none" w:sz="0" w:space="0" w:color="auto"/>
                                                <w:left w:val="none" w:sz="0" w:space="0" w:color="auto"/>
                                                <w:bottom w:val="none" w:sz="0" w:space="0" w:color="auto"/>
                                                <w:right w:val="none" w:sz="0" w:space="0" w:color="auto"/>
                                              </w:divBdr>
                                              <w:divsChild>
                                                <w:div w:id="462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3d3f76a9-1c27-4f93-a593-a1e7f88ba5f4.filesusr.com/ugd/445baa_43d54e79119f4f65a61fa3bdd6746052.pdf" TargetMode="External"/><Relationship Id="rId24" Type="http://schemas.openxmlformats.org/officeDocument/2006/relationships/hyperlink" Target="mailto:ghnt.hr@nhs.net"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Gender Split</a:t>
            </a:r>
          </a:p>
        </c:rich>
      </c:tx>
      <c:layout>
        <c:manualLayout>
          <c:xMode val="edge"/>
          <c:yMode val="edge"/>
          <c:x val="0.25998225310804118"/>
          <c:y val="6.2015503875968991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6097271648873072E-2"/>
          <c:y val="0.30994852387637589"/>
          <c:w val="0.71624046104557204"/>
          <c:h val="0.63320393090398586"/>
        </c:manualLayout>
      </c:layout>
      <c:pie3DChart>
        <c:varyColors val="1"/>
        <c:ser>
          <c:idx val="0"/>
          <c:order val="0"/>
          <c:tx>
            <c:strRef>
              <c:f>Sheet1!$B$1</c:f>
              <c:strCache>
                <c:ptCount val="1"/>
                <c:pt idx="0">
                  <c:v>Gender Split</c:v>
                </c:pt>
              </c:strCache>
            </c:strRef>
          </c:tx>
          <c:cat>
            <c:strRef>
              <c:f>Sheet1!$A$2:$A$3</c:f>
              <c:strCache>
                <c:ptCount val="2"/>
                <c:pt idx="0">
                  <c:v>Male</c:v>
                </c:pt>
                <c:pt idx="1">
                  <c:v>Female</c:v>
                </c:pt>
              </c:strCache>
            </c:strRef>
          </c:cat>
          <c:val>
            <c:numRef>
              <c:f>Sheet1!$B$2:$B$3</c:f>
              <c:numCache>
                <c:formatCode>0.00%</c:formatCode>
                <c:ptCount val="2"/>
                <c:pt idx="0">
                  <c:v>0.496</c:v>
                </c:pt>
                <c:pt idx="1">
                  <c:v>0.504</c:v>
                </c:pt>
              </c:numCache>
            </c:numRef>
          </c:val>
          <c:extLst xmlns:c16r2="http://schemas.microsoft.com/office/drawing/2015/06/chart">
            <c:ext xmlns:c16="http://schemas.microsoft.com/office/drawing/2014/chart" uri="{C3380CC4-5D6E-409C-BE32-E72D297353CC}">
              <c16:uniqueId val="{00000000-4F9E-4AC8-A6B6-19ABF553C838}"/>
            </c:ext>
          </c:extLst>
        </c:ser>
        <c:dLbls>
          <c:showLegendKey val="0"/>
          <c:showVal val="0"/>
          <c:showCatName val="0"/>
          <c:showSerName val="0"/>
          <c:showPercent val="0"/>
          <c:showBubbleSize val="0"/>
          <c:showLeaderLines val="1"/>
        </c:dLbls>
      </c:pie3DChart>
    </c:plotArea>
    <c:legend>
      <c:legendPos val="r"/>
      <c:layout>
        <c:manualLayout>
          <c:xMode val="edge"/>
          <c:yMode val="edge"/>
          <c:x val="0.6806532724334724"/>
          <c:y val="0.3459020529410568"/>
          <c:w val="0.11056855437554292"/>
          <c:h val="0.18690349752792529"/>
        </c:manualLayout>
      </c:layout>
      <c:overlay val="0"/>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solidFill>
                  <a:schemeClr val="tx2"/>
                </a:solidFill>
              </a:rPr>
              <a:t>% Males Paid Bonus</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953036494046262E-2"/>
          <c:y val="0.42318515118345634"/>
          <c:w val="0.80966978236851794"/>
          <c:h val="0.46820616032861362"/>
        </c:manualLayout>
      </c:layout>
      <c:pie3DChart>
        <c:varyColors val="1"/>
        <c:ser>
          <c:idx val="0"/>
          <c:order val="0"/>
          <c:dPt>
            <c:idx val="1"/>
            <c:bubble3D val="0"/>
            <c:spPr>
              <a:solidFill>
                <a:schemeClr val="tx2">
                  <a:lumMod val="20000"/>
                  <a:lumOff val="80000"/>
                </a:schemeClr>
              </a:solidFill>
            </c:spPr>
            <c:extLst xmlns:c16r2="http://schemas.microsoft.com/office/drawing/2015/06/chart">
              <c:ext xmlns:c16="http://schemas.microsoft.com/office/drawing/2014/chart" uri="{C3380CC4-5D6E-409C-BE32-E72D297353CC}">
                <c16:uniqueId val="{00000001-27FF-4E5C-805A-A9D257B7CA21}"/>
              </c:ext>
            </c:extLst>
          </c:dPt>
          <c:dLbls>
            <c:dLbl>
              <c:idx val="0"/>
              <c:layout>
                <c:manualLayout>
                  <c:x val="-0.11187322074718388"/>
                  <c:y val="-7.2546873344867771E-2"/>
                </c:manualLayout>
              </c:layout>
              <c:tx>
                <c:rich>
                  <a:bodyPr/>
                  <a:lstStyle/>
                  <a:p>
                    <a:r>
                      <a:rPr lang="en-US"/>
                      <a:t>52%</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27FF-4E5C-805A-A9D257B7CA21}"/>
                </c:ext>
              </c:extLst>
            </c:dLbl>
            <c:dLbl>
              <c:idx val="1"/>
              <c:tx>
                <c:rich>
                  <a:bodyPr/>
                  <a:lstStyle/>
                  <a:p>
                    <a:r>
                      <a:rPr lang="en-US"/>
                      <a:t>48%</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27FF-4E5C-805A-A9D257B7CA21}"/>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Sheet1!$H$6:$H$7</c:f>
              <c:strCache>
                <c:ptCount val="2"/>
                <c:pt idx="0">
                  <c:v>Paid Bonus</c:v>
                </c:pt>
                <c:pt idx="1">
                  <c:v>Not Paid Bonus</c:v>
                </c:pt>
              </c:strCache>
            </c:strRef>
          </c:cat>
          <c:val>
            <c:numRef>
              <c:f>Sheet1!$I$6:$I$7</c:f>
              <c:numCache>
                <c:formatCode>General</c:formatCode>
                <c:ptCount val="2"/>
                <c:pt idx="0">
                  <c:v>195</c:v>
                </c:pt>
                <c:pt idx="1">
                  <c:v>180</c:v>
                </c:pt>
              </c:numCache>
            </c:numRef>
          </c:val>
          <c:extLst xmlns:c16r2="http://schemas.microsoft.com/office/drawing/2015/06/chart">
            <c:ext xmlns:c16="http://schemas.microsoft.com/office/drawing/2014/chart" uri="{C3380CC4-5D6E-409C-BE32-E72D297353CC}">
              <c16:uniqueId val="{00000003-27FF-4E5C-805A-A9D257B7CA21}"/>
            </c:ext>
          </c:extLst>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solidFill>
                  <a:srgbClr val="0070C0"/>
                </a:solidFill>
              </a:rPr>
              <a:t>% Females Paid Bonus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1-EBC3-49D3-93FB-3F07BAEC1CE4}"/>
              </c:ext>
            </c:extLst>
          </c:dPt>
          <c:dPt>
            <c:idx val="1"/>
            <c:bubble3D val="0"/>
            <c:spPr>
              <a:solidFill>
                <a:schemeClr val="accent2">
                  <a:lumMod val="20000"/>
                  <a:lumOff val="80000"/>
                </a:schemeClr>
              </a:solidFill>
            </c:spPr>
            <c:extLst xmlns:c16r2="http://schemas.microsoft.com/office/drawing/2015/06/chart">
              <c:ext xmlns:c16="http://schemas.microsoft.com/office/drawing/2014/chart" uri="{C3380CC4-5D6E-409C-BE32-E72D297353CC}">
                <c16:uniqueId val="{00000003-EBC3-49D3-93FB-3F07BAEC1CE4}"/>
              </c:ext>
            </c:extLst>
          </c:dPt>
          <c:dLbls>
            <c:dLbl>
              <c:idx val="0"/>
              <c:layout>
                <c:manualLayout>
                  <c:x val="-0.17144022438371675"/>
                  <c:y val="-0.14537137403279135"/>
                </c:manualLayout>
              </c:layout>
              <c:tx>
                <c:rich>
                  <a:bodyPr/>
                  <a:lstStyle/>
                  <a:p>
                    <a:r>
                      <a:rPr lang="en-US"/>
                      <a:t>67%</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EBC3-49D3-93FB-3F07BAEC1CE4}"/>
                </c:ext>
              </c:extLst>
            </c:dLbl>
            <c:dLbl>
              <c:idx val="1"/>
              <c:tx>
                <c:rich>
                  <a:bodyPr/>
                  <a:lstStyle/>
                  <a:p>
                    <a:r>
                      <a:rPr lang="en-US"/>
                      <a:t>33%</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EBC3-49D3-93FB-3F07BAEC1CE4}"/>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Sheet1!$H$28:$H$29</c:f>
              <c:strCache>
                <c:ptCount val="2"/>
                <c:pt idx="0">
                  <c:v>Paid Bonus</c:v>
                </c:pt>
                <c:pt idx="1">
                  <c:v>Not Paid Bonus</c:v>
                </c:pt>
              </c:strCache>
            </c:strRef>
          </c:cat>
          <c:val>
            <c:numRef>
              <c:f>Sheet1!$I$28:$I$29</c:f>
              <c:numCache>
                <c:formatCode>General</c:formatCode>
                <c:ptCount val="2"/>
                <c:pt idx="0">
                  <c:v>73</c:v>
                </c:pt>
                <c:pt idx="1">
                  <c:v>27</c:v>
                </c:pt>
              </c:numCache>
            </c:numRef>
          </c:val>
          <c:extLst xmlns:c16r2="http://schemas.microsoft.com/office/drawing/2015/06/chart">
            <c:ext xmlns:c16="http://schemas.microsoft.com/office/drawing/2014/chart" uri="{C3380CC4-5D6E-409C-BE32-E72D297353CC}">
              <c16:uniqueId val="{00000004-EBC3-49D3-93FB-3F07BAEC1CE4}"/>
            </c:ext>
          </c:extLst>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solidFill>
                  <a:schemeClr val="tx2"/>
                </a:solidFill>
              </a:rPr>
              <a:t>Lower</a:t>
            </a:r>
            <a:r>
              <a:rPr lang="en-GB" sz="1600" baseline="0">
                <a:solidFill>
                  <a:schemeClr val="tx2"/>
                </a:solidFill>
              </a:rPr>
              <a:t> Quartile</a:t>
            </a:r>
            <a:endParaRPr lang="en-GB" sz="1600">
              <a:solidFill>
                <a:schemeClr val="tx2"/>
              </a:solidFill>
            </a:endParaRPr>
          </a:p>
        </c:rich>
      </c:tx>
      <c:overlay val="0"/>
    </c:title>
    <c:autoTitleDeleted val="0"/>
    <c:plotArea>
      <c:layout/>
      <c:doughnutChart>
        <c:varyColors val="1"/>
        <c:ser>
          <c:idx val="0"/>
          <c:order val="0"/>
          <c:dPt>
            <c:idx val="2"/>
            <c:bubble3D val="0"/>
            <c:spPr>
              <a:solidFill>
                <a:schemeClr val="accent1"/>
              </a:solidFill>
            </c:spPr>
            <c:extLst xmlns:c16r2="http://schemas.microsoft.com/office/drawing/2015/06/chart">
              <c:ext xmlns:c16="http://schemas.microsoft.com/office/drawing/2014/chart" uri="{C3380CC4-5D6E-409C-BE32-E72D297353CC}">
                <c16:uniqueId val="{00000001-F5A7-44D7-A3BF-77939A37C182}"/>
              </c:ext>
            </c:extLst>
          </c:dPt>
          <c:dPt>
            <c:idx val="3"/>
            <c:bubble3D val="0"/>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3-F5A7-44D7-A3BF-77939A37C182}"/>
              </c:ext>
            </c:extLst>
          </c:dPt>
          <c:dLbls>
            <c:dLbl>
              <c:idx val="2"/>
              <c:tx>
                <c:rich>
                  <a:bodyPr/>
                  <a:lstStyle/>
                  <a:p>
                    <a:r>
                      <a:rPr lang="en-US"/>
                      <a:t>Males
44%</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F5A7-44D7-A3BF-77939A37C182}"/>
                </c:ext>
              </c:extLst>
            </c:dLbl>
            <c:dLbl>
              <c:idx val="3"/>
              <c:tx>
                <c:rich>
                  <a:bodyPr/>
                  <a:lstStyle/>
                  <a:p>
                    <a:r>
                      <a:rPr lang="en-US"/>
                      <a:t>Females
56%</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F5A7-44D7-A3BF-77939A37C182}"/>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Sheet1!$O$31:$O$34</c:f>
              <c:strCache>
                <c:ptCount val="4"/>
                <c:pt idx="0">
                  <c:v>Lower Quartile</c:v>
                </c:pt>
                <c:pt idx="2">
                  <c:v>Males</c:v>
                </c:pt>
                <c:pt idx="3">
                  <c:v>Females</c:v>
                </c:pt>
              </c:strCache>
            </c:strRef>
          </c:cat>
          <c:val>
            <c:numRef>
              <c:f>Sheet1!$P$31:$P$34</c:f>
              <c:numCache>
                <c:formatCode>General</c:formatCode>
                <c:ptCount val="4"/>
                <c:pt idx="2" formatCode="0">
                  <c:v>43</c:v>
                </c:pt>
                <c:pt idx="3" formatCode="0">
                  <c:v>57</c:v>
                </c:pt>
              </c:numCache>
            </c:numRef>
          </c:val>
          <c:extLst xmlns:c16r2="http://schemas.microsoft.com/office/drawing/2015/06/chart">
            <c:ext xmlns:c16="http://schemas.microsoft.com/office/drawing/2014/chart" uri="{C3380CC4-5D6E-409C-BE32-E72D297353CC}">
              <c16:uniqueId val="{00000004-F5A7-44D7-A3BF-77939A37C182}"/>
            </c:ext>
          </c:extLst>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solidFill>
                  <a:schemeClr val="tx2"/>
                </a:solidFill>
              </a:rPr>
              <a:t>Lower Middle Quartile</a:t>
            </a:r>
          </a:p>
        </c:rich>
      </c:tx>
      <c:overlay val="0"/>
    </c:title>
    <c:autoTitleDeleted val="0"/>
    <c:plotArea>
      <c:layout/>
      <c:doughnutChart>
        <c:varyColors val="1"/>
        <c:ser>
          <c:idx val="0"/>
          <c:order val="0"/>
          <c:dPt>
            <c:idx val="0"/>
            <c:bubble3D val="0"/>
            <c:spPr>
              <a:solidFill>
                <a:schemeClr val="accent1"/>
              </a:solidFill>
            </c:spPr>
            <c:extLst xmlns:c16r2="http://schemas.microsoft.com/office/drawing/2015/06/chart">
              <c:ext xmlns:c16="http://schemas.microsoft.com/office/drawing/2014/chart" uri="{C3380CC4-5D6E-409C-BE32-E72D297353CC}">
                <c16:uniqueId val="{00000001-BF4C-4016-AB4D-DE3A15CA24CA}"/>
              </c:ext>
            </c:extLst>
          </c:dPt>
          <c:dPt>
            <c:idx val="1"/>
            <c:bubble3D val="0"/>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3-BF4C-4016-AB4D-DE3A15CA24CA}"/>
              </c:ext>
            </c:extLst>
          </c:dPt>
          <c:dLbls>
            <c:dLbl>
              <c:idx val="0"/>
              <c:tx>
                <c:rich>
                  <a:bodyPr/>
                  <a:lstStyle/>
                  <a:p>
                    <a:r>
                      <a:rPr lang="en-US"/>
                      <a:t>Males
45%</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BF4C-4016-AB4D-DE3A15CA24CA}"/>
                </c:ext>
              </c:extLst>
            </c:dLbl>
            <c:dLbl>
              <c:idx val="1"/>
              <c:tx>
                <c:rich>
                  <a:bodyPr/>
                  <a:lstStyle/>
                  <a:p>
                    <a:r>
                      <a:rPr lang="en-US"/>
                      <a:t>Females
55%</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BF4C-4016-AB4D-DE3A15CA24CA}"/>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Sheet1!$O$54:$O$55</c:f>
              <c:strCache>
                <c:ptCount val="2"/>
                <c:pt idx="0">
                  <c:v>Males</c:v>
                </c:pt>
                <c:pt idx="1">
                  <c:v>Females</c:v>
                </c:pt>
              </c:strCache>
            </c:strRef>
          </c:cat>
          <c:val>
            <c:numRef>
              <c:f>Sheet1!$P$54:$P$55</c:f>
              <c:numCache>
                <c:formatCode>General</c:formatCode>
                <c:ptCount val="2"/>
                <c:pt idx="0">
                  <c:v>27</c:v>
                </c:pt>
                <c:pt idx="1">
                  <c:v>73</c:v>
                </c:pt>
              </c:numCache>
            </c:numRef>
          </c:val>
          <c:extLst xmlns:c16r2="http://schemas.microsoft.com/office/drawing/2015/06/chart">
            <c:ext xmlns:c16="http://schemas.microsoft.com/office/drawing/2014/chart" uri="{C3380CC4-5D6E-409C-BE32-E72D297353CC}">
              <c16:uniqueId val="{00000004-BF4C-4016-AB4D-DE3A15CA24CA}"/>
            </c:ext>
          </c:extLst>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solidFill>
                  <a:schemeClr val="tx2"/>
                </a:solidFill>
              </a:rPr>
              <a:t>Upper Middle Quartile</a:t>
            </a:r>
          </a:p>
        </c:rich>
      </c:tx>
      <c:overlay val="0"/>
    </c:title>
    <c:autoTitleDeleted val="0"/>
    <c:plotArea>
      <c:layout/>
      <c:doughnutChart>
        <c:varyColors val="1"/>
        <c:ser>
          <c:idx val="0"/>
          <c:order val="0"/>
          <c:dPt>
            <c:idx val="0"/>
            <c:bubble3D val="0"/>
            <c:spPr>
              <a:solidFill>
                <a:schemeClr val="accent1"/>
              </a:solidFill>
            </c:spPr>
            <c:extLst xmlns:c16r2="http://schemas.microsoft.com/office/drawing/2015/06/chart">
              <c:ext xmlns:c16="http://schemas.microsoft.com/office/drawing/2014/chart" uri="{C3380CC4-5D6E-409C-BE32-E72D297353CC}">
                <c16:uniqueId val="{00000001-DE70-47B9-A921-65C5C93CDED3}"/>
              </c:ext>
            </c:extLst>
          </c:dPt>
          <c:dPt>
            <c:idx val="1"/>
            <c:bubble3D val="0"/>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3-DE70-47B9-A921-65C5C93CDED3}"/>
              </c:ext>
            </c:extLst>
          </c:dPt>
          <c:dLbls>
            <c:dLbl>
              <c:idx val="0"/>
              <c:tx>
                <c:rich>
                  <a:bodyPr/>
                  <a:lstStyle/>
                  <a:p>
                    <a:r>
                      <a:rPr lang="en-US"/>
                      <a:t>Males
50%</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DE70-47B9-A921-65C5C93CDED3}"/>
                </c:ext>
              </c:extLst>
            </c:dLbl>
            <c:dLbl>
              <c:idx val="1"/>
              <c:tx>
                <c:rich>
                  <a:bodyPr/>
                  <a:lstStyle/>
                  <a:p>
                    <a:r>
                      <a:rPr lang="en-US"/>
                      <a:t>Females
50%</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DE70-47B9-A921-65C5C93CDED3}"/>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Sheet1!$O$76:$O$77</c:f>
              <c:strCache>
                <c:ptCount val="2"/>
                <c:pt idx="0">
                  <c:v>Males</c:v>
                </c:pt>
                <c:pt idx="1">
                  <c:v>Females</c:v>
                </c:pt>
              </c:strCache>
            </c:strRef>
          </c:cat>
          <c:val>
            <c:numRef>
              <c:f>Sheet1!$P$76:$P$77</c:f>
              <c:numCache>
                <c:formatCode>General</c:formatCode>
                <c:ptCount val="2"/>
                <c:pt idx="0">
                  <c:v>48</c:v>
                </c:pt>
                <c:pt idx="1">
                  <c:v>52</c:v>
                </c:pt>
              </c:numCache>
            </c:numRef>
          </c:val>
          <c:extLst xmlns:c16r2="http://schemas.microsoft.com/office/drawing/2015/06/chart">
            <c:ext xmlns:c16="http://schemas.microsoft.com/office/drawing/2014/chart" uri="{C3380CC4-5D6E-409C-BE32-E72D297353CC}">
              <c16:uniqueId val="{00000004-DE70-47B9-A921-65C5C93CDED3}"/>
            </c:ext>
          </c:extLst>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solidFill>
                  <a:schemeClr val="tx2"/>
                </a:solidFill>
              </a:rPr>
              <a:t>Upper Quartile</a:t>
            </a:r>
          </a:p>
        </c:rich>
      </c:tx>
      <c:overlay val="0"/>
    </c:title>
    <c:autoTitleDeleted val="0"/>
    <c:plotArea>
      <c:layout/>
      <c:doughnutChart>
        <c:varyColors val="1"/>
        <c:ser>
          <c:idx val="0"/>
          <c:order val="0"/>
          <c:dPt>
            <c:idx val="0"/>
            <c:bubble3D val="0"/>
            <c:spPr>
              <a:solidFill>
                <a:schemeClr val="accent1"/>
              </a:solidFill>
            </c:spPr>
            <c:extLst xmlns:c16r2="http://schemas.microsoft.com/office/drawing/2015/06/chart">
              <c:ext xmlns:c16="http://schemas.microsoft.com/office/drawing/2014/chart" uri="{C3380CC4-5D6E-409C-BE32-E72D297353CC}">
                <c16:uniqueId val="{00000001-CCA3-4F2C-A9EB-EBDC659F3E3A}"/>
              </c:ext>
            </c:extLst>
          </c:dPt>
          <c:dPt>
            <c:idx val="1"/>
            <c:bubble3D val="0"/>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3-CCA3-4F2C-A9EB-EBDC659F3E3A}"/>
              </c:ext>
            </c:extLst>
          </c:dPt>
          <c:dLbls>
            <c:dLbl>
              <c:idx val="0"/>
              <c:tx>
                <c:rich>
                  <a:bodyPr/>
                  <a:lstStyle/>
                  <a:p>
                    <a:r>
                      <a:rPr lang="en-US"/>
                      <a:t>Males
60%</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CCA3-4F2C-A9EB-EBDC659F3E3A}"/>
                </c:ext>
              </c:extLst>
            </c:dLbl>
            <c:dLbl>
              <c:idx val="1"/>
              <c:tx>
                <c:rich>
                  <a:bodyPr/>
                  <a:lstStyle/>
                  <a:p>
                    <a:r>
                      <a:rPr lang="en-US"/>
                      <a:t>Females
40%</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CCA3-4F2C-A9EB-EBDC659F3E3A}"/>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Sheet1!$O$99:$O$100</c:f>
              <c:strCache>
                <c:ptCount val="2"/>
                <c:pt idx="0">
                  <c:v>Males</c:v>
                </c:pt>
                <c:pt idx="1">
                  <c:v>Females</c:v>
                </c:pt>
              </c:strCache>
            </c:strRef>
          </c:cat>
          <c:val>
            <c:numRef>
              <c:f>Sheet1!$P$99:$P$100</c:f>
              <c:numCache>
                <c:formatCode>General</c:formatCode>
                <c:ptCount val="2"/>
                <c:pt idx="0">
                  <c:v>53</c:v>
                </c:pt>
                <c:pt idx="1">
                  <c:v>47</c:v>
                </c:pt>
              </c:numCache>
            </c:numRef>
          </c:val>
          <c:extLst xmlns:c16r2="http://schemas.microsoft.com/office/drawing/2015/06/chart">
            <c:ext xmlns:c16="http://schemas.microsoft.com/office/drawing/2014/chart" uri="{C3380CC4-5D6E-409C-BE32-E72D297353CC}">
              <c16:uniqueId val="{00000004-CCA3-4F2C-A9EB-EBDC659F3E3A}"/>
            </c:ext>
          </c:extLst>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0.4652</cdr:x>
      <cdr:y>0.47467</cdr:y>
    </cdr:from>
    <cdr:to>
      <cdr:x>0.57631</cdr:x>
      <cdr:y>0.57586</cdr:y>
    </cdr:to>
    <cdr:sp macro="" textlink="">
      <cdr:nvSpPr>
        <cdr:cNvPr id="2" name="Text Box 1"/>
        <cdr:cNvSpPr txBox="1"/>
      </cdr:nvSpPr>
      <cdr:spPr>
        <a:xfrm xmlns:a="http://schemas.openxmlformats.org/drawingml/2006/main">
          <a:off x="2490225" y="1166472"/>
          <a:ext cx="594784" cy="2486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49.6%</a:t>
          </a:r>
        </a:p>
      </cdr:txBody>
    </cdr:sp>
  </cdr:relSizeAnchor>
  <cdr:relSizeAnchor xmlns:cdr="http://schemas.openxmlformats.org/drawingml/2006/chartDrawing">
    <cdr:from>
      <cdr:x>0.23116</cdr:x>
      <cdr:y>0.47107</cdr:y>
    </cdr:from>
    <cdr:to>
      <cdr:x>0.33707</cdr:x>
      <cdr:y>0.5425</cdr:y>
    </cdr:to>
    <cdr:sp macro="" textlink="">
      <cdr:nvSpPr>
        <cdr:cNvPr id="3" name="Text Box 2"/>
        <cdr:cNvSpPr txBox="1"/>
      </cdr:nvSpPr>
      <cdr:spPr>
        <a:xfrm xmlns:a="http://schemas.openxmlformats.org/drawingml/2006/main">
          <a:off x="1237423" y="1157628"/>
          <a:ext cx="566903" cy="1755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50.4%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EEBB4-5472-4FFC-9502-7E1EB73F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1661</Words>
  <Characters>9474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Gateshead Health NHS Foundation Trust</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Gowland Kerry (RR7) Gateshead Health</dc:creator>
  <cp:lastModifiedBy>Carroll Debbie</cp:lastModifiedBy>
  <cp:revision>2</cp:revision>
  <cp:lastPrinted>2020-02-17T11:38:00Z</cp:lastPrinted>
  <dcterms:created xsi:type="dcterms:W3CDTF">2021-09-17T10:25:00Z</dcterms:created>
  <dcterms:modified xsi:type="dcterms:W3CDTF">2021-09-17T10:25:00Z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96ad79e9-d767-44b0-817d-6d9d60fc2e47</vt:lpwstr>
  </property>
</Properties>
</file>